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A85" w:rsidRPr="000752E5" w:rsidRDefault="000752E5" w:rsidP="000752E5">
      <w:pPr>
        <w:jc w:val="center"/>
        <w:rPr>
          <w:b/>
          <w:sz w:val="28"/>
          <w:szCs w:val="28"/>
          <w:u w:val="single"/>
        </w:rPr>
      </w:pPr>
      <w:r w:rsidRPr="000752E5">
        <w:rPr>
          <w:b/>
          <w:sz w:val="28"/>
          <w:szCs w:val="28"/>
          <w:u w:val="single"/>
        </w:rPr>
        <w:t xml:space="preserve">Report to Oxfordshire Growth Board Scrutiny </w:t>
      </w:r>
      <w:r w:rsidR="00BD7A92">
        <w:rPr>
          <w:b/>
          <w:sz w:val="28"/>
          <w:szCs w:val="28"/>
          <w:u w:val="single"/>
        </w:rPr>
        <w:t>Panel</w:t>
      </w:r>
    </w:p>
    <w:p w:rsidR="000752E5" w:rsidRPr="000752E5" w:rsidRDefault="000752E5" w:rsidP="000752E5">
      <w:pPr>
        <w:jc w:val="center"/>
        <w:rPr>
          <w:b/>
          <w:sz w:val="28"/>
          <w:szCs w:val="28"/>
          <w:u w:val="single"/>
        </w:rPr>
      </w:pPr>
    </w:p>
    <w:p w:rsidR="000752E5" w:rsidRDefault="000752E5" w:rsidP="000752E5">
      <w:pPr>
        <w:jc w:val="center"/>
        <w:rPr>
          <w:b/>
          <w:sz w:val="28"/>
          <w:szCs w:val="28"/>
          <w:u w:val="single"/>
        </w:rPr>
      </w:pPr>
      <w:r w:rsidRPr="000752E5">
        <w:rPr>
          <w:b/>
          <w:sz w:val="28"/>
          <w:szCs w:val="28"/>
          <w:u w:val="single"/>
        </w:rPr>
        <w:t>Growth Deal Affordable Housing Programme</w:t>
      </w:r>
    </w:p>
    <w:p w:rsidR="000752E5" w:rsidRDefault="000752E5" w:rsidP="000752E5">
      <w:pPr>
        <w:jc w:val="center"/>
        <w:rPr>
          <w:b/>
          <w:sz w:val="28"/>
          <w:szCs w:val="28"/>
          <w:u w:val="single"/>
        </w:rPr>
      </w:pPr>
    </w:p>
    <w:p w:rsidR="000752E5" w:rsidRPr="00143A33" w:rsidRDefault="000752E5" w:rsidP="00143A33">
      <w:pPr>
        <w:tabs>
          <w:tab w:val="left" w:pos="3261"/>
        </w:tabs>
        <w:rPr>
          <w:b/>
          <w:sz w:val="28"/>
          <w:szCs w:val="28"/>
          <w:u w:val="single"/>
        </w:rPr>
      </w:pPr>
      <w:r w:rsidRPr="00143A33">
        <w:rPr>
          <w:b/>
          <w:sz w:val="28"/>
          <w:szCs w:val="28"/>
          <w:u w:val="single"/>
        </w:rPr>
        <w:t>Report Purpose</w:t>
      </w:r>
    </w:p>
    <w:p w:rsidR="000752E5" w:rsidRDefault="000752E5" w:rsidP="00143A33">
      <w:pPr>
        <w:tabs>
          <w:tab w:val="left" w:pos="3261"/>
        </w:tabs>
        <w:rPr>
          <w:b/>
        </w:rPr>
      </w:pPr>
    </w:p>
    <w:p w:rsidR="000752E5" w:rsidRDefault="005F474E" w:rsidP="00143A33">
      <w:pPr>
        <w:pStyle w:val="ListParagraph"/>
        <w:numPr>
          <w:ilvl w:val="0"/>
          <w:numId w:val="7"/>
        </w:numPr>
        <w:tabs>
          <w:tab w:val="left" w:pos="3261"/>
        </w:tabs>
      </w:pPr>
      <w:r>
        <w:t>To introduce the Scrutiny P</w:t>
      </w:r>
      <w:r w:rsidR="000752E5">
        <w:t xml:space="preserve">anel to the Growth Deal </w:t>
      </w:r>
      <w:r>
        <w:t>Affordable</w:t>
      </w:r>
      <w:r w:rsidR="000752E5">
        <w:t xml:space="preserve"> Housing </w:t>
      </w:r>
      <w:r w:rsidR="00E92B04">
        <w:t>Work stream</w:t>
      </w:r>
      <w:r w:rsidR="00D54F96">
        <w:t xml:space="preserve"> and </w:t>
      </w:r>
      <w:r w:rsidR="00EC6F8F">
        <w:t xml:space="preserve">consider how to address </w:t>
      </w:r>
      <w:r w:rsidR="00D54F96">
        <w:t>some of the key issues in building a successful programme.</w:t>
      </w:r>
    </w:p>
    <w:p w:rsidR="000752E5" w:rsidRDefault="000752E5" w:rsidP="00143A33">
      <w:pPr>
        <w:tabs>
          <w:tab w:val="left" w:pos="3261"/>
        </w:tabs>
      </w:pPr>
    </w:p>
    <w:p w:rsidR="000752E5" w:rsidRPr="00143A33" w:rsidRDefault="000752E5" w:rsidP="00143A33">
      <w:pPr>
        <w:tabs>
          <w:tab w:val="left" w:pos="3261"/>
        </w:tabs>
        <w:rPr>
          <w:b/>
          <w:sz w:val="28"/>
          <w:szCs w:val="28"/>
          <w:u w:val="single"/>
        </w:rPr>
      </w:pPr>
      <w:r w:rsidRPr="00143A33">
        <w:rPr>
          <w:b/>
          <w:sz w:val="28"/>
          <w:szCs w:val="28"/>
          <w:u w:val="single"/>
        </w:rPr>
        <w:t>Background</w:t>
      </w:r>
    </w:p>
    <w:p w:rsidR="000752E5" w:rsidRDefault="000752E5" w:rsidP="00143A33">
      <w:pPr>
        <w:tabs>
          <w:tab w:val="left" w:pos="3261"/>
        </w:tabs>
      </w:pPr>
    </w:p>
    <w:p w:rsidR="000752E5" w:rsidRDefault="00FE1771" w:rsidP="00143A33">
      <w:pPr>
        <w:pStyle w:val="ListParagraph"/>
        <w:numPr>
          <w:ilvl w:val="0"/>
          <w:numId w:val="7"/>
        </w:numPr>
        <w:tabs>
          <w:tab w:val="left" w:pos="3261"/>
        </w:tabs>
      </w:pPr>
      <w:r>
        <w:t xml:space="preserve">The Scrutiny </w:t>
      </w:r>
      <w:r w:rsidR="006105A4">
        <w:t>Panel will</w:t>
      </w:r>
      <w:r>
        <w:t xml:space="preserve"> be aware of the high levels of need for affordable housing in Oxfordshire. </w:t>
      </w:r>
      <w:r w:rsidR="006105A4">
        <w:t>The m</w:t>
      </w:r>
      <w:r w:rsidR="001B586D">
        <w:t>edian</w:t>
      </w:r>
      <w:r w:rsidR="006105A4">
        <w:t xml:space="preserve"> average earnings per year required to purchase an entry level market house is 12 times average salary. Consequently, there are currently 9228 people in housing need on the </w:t>
      </w:r>
      <w:r w:rsidR="00D54F96">
        <w:t xml:space="preserve">council’s </w:t>
      </w:r>
      <w:r w:rsidR="006105A4">
        <w:t xml:space="preserve">housing registers.  </w:t>
      </w:r>
    </w:p>
    <w:p w:rsidR="006105A4" w:rsidRDefault="006105A4" w:rsidP="00143A33">
      <w:pPr>
        <w:tabs>
          <w:tab w:val="left" w:pos="3261"/>
        </w:tabs>
      </w:pPr>
    </w:p>
    <w:p w:rsidR="006105A4" w:rsidRDefault="006105A4" w:rsidP="00143A33">
      <w:pPr>
        <w:pStyle w:val="ListParagraph"/>
        <w:numPr>
          <w:ilvl w:val="0"/>
          <w:numId w:val="7"/>
        </w:numPr>
        <w:tabs>
          <w:tab w:val="left" w:pos="3261"/>
        </w:tabs>
      </w:pPr>
      <w:r>
        <w:t xml:space="preserve">The performance of council partners in response to this need has been encouraging with levels of affordable housing provided rising in recent years as </w:t>
      </w:r>
      <w:r w:rsidR="00D54F96">
        <w:t xml:space="preserve">overall </w:t>
      </w:r>
      <w:r>
        <w:t>house build level</w:t>
      </w:r>
      <w:r w:rsidR="00D54F96">
        <w:t>s</w:t>
      </w:r>
      <w:r>
        <w:t xml:space="preserve"> increase. On average councils </w:t>
      </w:r>
      <w:r w:rsidR="00A32486">
        <w:t xml:space="preserve">in Oxfordshire </w:t>
      </w:r>
      <w:r>
        <w:t xml:space="preserve">have provided just over 1000 new affordable homes per annum in the last three years. </w:t>
      </w:r>
      <w:r w:rsidR="00D54F96">
        <w:t xml:space="preserve">This still however leaves a significant annual shortfall each year which grows as each year passes and demand exceeds supply. </w:t>
      </w:r>
    </w:p>
    <w:p w:rsidR="00A32486" w:rsidRDefault="00A32486" w:rsidP="00143A33">
      <w:pPr>
        <w:tabs>
          <w:tab w:val="left" w:pos="3261"/>
        </w:tabs>
      </w:pPr>
    </w:p>
    <w:p w:rsidR="00A32486" w:rsidRDefault="00A32486" w:rsidP="00143A33">
      <w:pPr>
        <w:pStyle w:val="ListParagraph"/>
        <w:numPr>
          <w:ilvl w:val="0"/>
          <w:numId w:val="7"/>
        </w:numPr>
        <w:tabs>
          <w:tab w:val="left" w:pos="3261"/>
        </w:tabs>
      </w:pPr>
      <w:r>
        <w:t xml:space="preserve">These </w:t>
      </w:r>
      <w:r w:rsidR="00F34C1C">
        <w:t>figures</w:t>
      </w:r>
      <w:r>
        <w:t xml:space="preserve"> </w:t>
      </w:r>
      <w:r w:rsidR="00D54F96">
        <w:t xml:space="preserve">also </w:t>
      </w:r>
      <w:r>
        <w:t xml:space="preserve">mask the fact that many of the Affordable Homes </w:t>
      </w:r>
      <w:r w:rsidR="00F34C1C">
        <w:t>provided</w:t>
      </w:r>
      <w:r>
        <w:t xml:space="preserve"> include low </w:t>
      </w:r>
      <w:r w:rsidR="00F34C1C">
        <w:t>cost</w:t>
      </w:r>
      <w:r>
        <w:t xml:space="preserve"> home ownership </w:t>
      </w:r>
      <w:r w:rsidR="00F34C1C">
        <w:t xml:space="preserve">initiatives such as Starter Homes </w:t>
      </w:r>
      <w:r>
        <w:t xml:space="preserve">and </w:t>
      </w:r>
      <w:r w:rsidR="00F34C1C">
        <w:t>A</w:t>
      </w:r>
      <w:r>
        <w:t xml:space="preserve">ffordable </w:t>
      </w:r>
      <w:r w:rsidR="00F34C1C">
        <w:t>R</w:t>
      </w:r>
      <w:r>
        <w:t>ented ho</w:t>
      </w:r>
      <w:r w:rsidR="00F34C1C">
        <w:t>mes</w:t>
      </w:r>
      <w:r>
        <w:t xml:space="preserve"> with rents that are significantly higher than traditional social </w:t>
      </w:r>
      <w:r w:rsidR="00F34C1C">
        <w:t>housing</w:t>
      </w:r>
      <w:r>
        <w:t xml:space="preserve"> rent levels. </w:t>
      </w:r>
      <w:r w:rsidR="00F34C1C">
        <w:t xml:space="preserve">Whilst these are valid response to </w:t>
      </w:r>
      <w:r w:rsidR="00EC6F8F">
        <w:t xml:space="preserve">identified </w:t>
      </w:r>
      <w:r w:rsidR="00F34C1C">
        <w:t>tranches of housing need, there</w:t>
      </w:r>
      <w:r>
        <w:t xml:space="preserve"> </w:t>
      </w:r>
      <w:r w:rsidR="00F34C1C">
        <w:t>remains</w:t>
      </w:r>
      <w:r>
        <w:t xml:space="preserve"> </w:t>
      </w:r>
      <w:r w:rsidR="00F34C1C">
        <w:t>therefore</w:t>
      </w:r>
      <w:r>
        <w:t xml:space="preserve"> a need to </w:t>
      </w:r>
      <w:r w:rsidR="00F34C1C">
        <w:t xml:space="preserve">provide both increased </w:t>
      </w:r>
      <w:r>
        <w:t>level</w:t>
      </w:r>
      <w:r w:rsidR="00F34C1C">
        <w:t>s</w:t>
      </w:r>
      <w:r>
        <w:t xml:space="preserve"> of </w:t>
      </w:r>
      <w:r w:rsidR="00F34C1C">
        <w:t>affordable</w:t>
      </w:r>
      <w:r>
        <w:t xml:space="preserve"> housing and to attempt to respond to the needs of the most vulnerable of our residents.</w:t>
      </w:r>
    </w:p>
    <w:p w:rsidR="00A32486" w:rsidRDefault="00A32486" w:rsidP="00143A33">
      <w:pPr>
        <w:tabs>
          <w:tab w:val="left" w:pos="3261"/>
        </w:tabs>
      </w:pPr>
    </w:p>
    <w:p w:rsidR="00A32486" w:rsidRDefault="00F34C1C" w:rsidP="00143A33">
      <w:pPr>
        <w:pStyle w:val="ListParagraph"/>
        <w:numPr>
          <w:ilvl w:val="0"/>
          <w:numId w:val="7"/>
        </w:numPr>
        <w:tabs>
          <w:tab w:val="left" w:pos="3261"/>
        </w:tabs>
      </w:pPr>
      <w:r>
        <w:t>In response to this</w:t>
      </w:r>
      <w:r w:rsidR="00A32486">
        <w:t xml:space="preserve"> </w:t>
      </w:r>
      <w:r>
        <w:t>identified</w:t>
      </w:r>
      <w:r w:rsidR="00A32486">
        <w:t xml:space="preserve"> local priority a key part of the Housing and Growth deal was a </w:t>
      </w:r>
      <w:r>
        <w:t>bespoke Oxfordshire Programme</w:t>
      </w:r>
      <w:r w:rsidR="00A32486">
        <w:t xml:space="preserve"> of </w:t>
      </w:r>
      <w:r w:rsidR="00D54F96">
        <w:t>A</w:t>
      </w:r>
      <w:r w:rsidR="00A32486">
        <w:t xml:space="preserve">ffordable </w:t>
      </w:r>
      <w:r w:rsidR="00D54F96">
        <w:t>H</w:t>
      </w:r>
      <w:r>
        <w:t>ousing, tailored to identified local need</w:t>
      </w:r>
    </w:p>
    <w:p w:rsidR="00FE1771" w:rsidRDefault="00FE1771" w:rsidP="00143A33">
      <w:pPr>
        <w:tabs>
          <w:tab w:val="left" w:pos="3261"/>
        </w:tabs>
      </w:pPr>
    </w:p>
    <w:p w:rsidR="00F34C1C" w:rsidRPr="00143A33" w:rsidRDefault="00F34C1C" w:rsidP="00143A33">
      <w:pPr>
        <w:tabs>
          <w:tab w:val="left" w:pos="3261"/>
        </w:tabs>
        <w:rPr>
          <w:b/>
          <w:sz w:val="28"/>
          <w:szCs w:val="28"/>
        </w:rPr>
      </w:pPr>
      <w:r w:rsidRPr="00143A33">
        <w:rPr>
          <w:b/>
          <w:sz w:val="28"/>
          <w:szCs w:val="28"/>
        </w:rPr>
        <w:t xml:space="preserve">Definition of Affordable Housing </w:t>
      </w:r>
    </w:p>
    <w:p w:rsidR="000752E5" w:rsidRDefault="000752E5" w:rsidP="00143A33">
      <w:pPr>
        <w:tabs>
          <w:tab w:val="left" w:pos="3261"/>
        </w:tabs>
      </w:pPr>
    </w:p>
    <w:p w:rsidR="00F34C1C" w:rsidRDefault="00EC6F8F" w:rsidP="00143A33">
      <w:pPr>
        <w:pStyle w:val="ListParagraph"/>
        <w:numPr>
          <w:ilvl w:val="0"/>
          <w:numId w:val="7"/>
        </w:numPr>
        <w:tabs>
          <w:tab w:val="left" w:pos="3261"/>
        </w:tabs>
      </w:pPr>
      <w:r>
        <w:t xml:space="preserve">The definition of </w:t>
      </w:r>
      <w:r w:rsidR="00F34C1C">
        <w:t xml:space="preserve">Affordable Housing is </w:t>
      </w:r>
      <w:r>
        <w:t xml:space="preserve">set out </w:t>
      </w:r>
      <w:r w:rsidR="00F34C1C">
        <w:t xml:space="preserve">by Government and contained within the National Planning Policy Framework. The </w:t>
      </w:r>
      <w:r>
        <w:t>appendix of this report contains the full definition.</w:t>
      </w:r>
      <w:r w:rsidR="00F34C1C">
        <w:t xml:space="preserve"> </w:t>
      </w:r>
    </w:p>
    <w:p w:rsidR="00F34C1C" w:rsidRDefault="00F34C1C" w:rsidP="00143A33">
      <w:pPr>
        <w:tabs>
          <w:tab w:val="left" w:pos="3261"/>
        </w:tabs>
      </w:pPr>
    </w:p>
    <w:p w:rsidR="00F34C1C" w:rsidRDefault="00F34C1C" w:rsidP="00143A33">
      <w:pPr>
        <w:pStyle w:val="ListParagraph"/>
        <w:numPr>
          <w:ilvl w:val="0"/>
          <w:numId w:val="7"/>
        </w:numPr>
        <w:tabs>
          <w:tab w:val="left" w:pos="3261"/>
        </w:tabs>
      </w:pPr>
      <w:r>
        <w:t xml:space="preserve">As the Growth </w:t>
      </w:r>
      <w:proofErr w:type="gramStart"/>
      <w:r>
        <w:t>Deal</w:t>
      </w:r>
      <w:proofErr w:type="gramEnd"/>
      <w:r>
        <w:t xml:space="preserve"> Affordable Housing </w:t>
      </w:r>
      <w:r w:rsidR="00BD7A92">
        <w:t>P</w:t>
      </w:r>
      <w:r w:rsidR="00E8495D">
        <w:t>rogramme</w:t>
      </w:r>
      <w:r>
        <w:t xml:space="preserve"> is funded through Homes England, the </w:t>
      </w:r>
      <w:r w:rsidR="00E8495D">
        <w:t>Programme</w:t>
      </w:r>
      <w:r>
        <w:t xml:space="preserve"> </w:t>
      </w:r>
      <w:r w:rsidR="00EC6F8F">
        <w:t>must</w:t>
      </w:r>
      <w:r>
        <w:t xml:space="preserve"> comply with these </w:t>
      </w:r>
      <w:r w:rsidR="00E8495D">
        <w:t>definitions</w:t>
      </w:r>
      <w:r>
        <w:t xml:space="preserve">. </w:t>
      </w:r>
      <w:r w:rsidR="00E8495D">
        <w:t xml:space="preserve">Within this umbrella however there is some flexibility to consider a locally tailored definition to reflect a </w:t>
      </w:r>
      <w:r w:rsidR="00EC6F8F">
        <w:t xml:space="preserve">locally identified </w:t>
      </w:r>
      <w:r w:rsidR="00E8495D">
        <w:t>priority</w:t>
      </w:r>
      <w:r w:rsidR="00EC6F8F">
        <w:t>.</w:t>
      </w:r>
    </w:p>
    <w:p w:rsidR="000752E5" w:rsidRPr="00143A33" w:rsidRDefault="00143A33" w:rsidP="00143A33">
      <w:pPr>
        <w:tabs>
          <w:tab w:val="left" w:pos="3261"/>
        </w:tabs>
        <w:rPr>
          <w:b/>
          <w:sz w:val="28"/>
          <w:szCs w:val="28"/>
          <w:u w:val="single"/>
        </w:rPr>
      </w:pPr>
      <w:r w:rsidRPr="00143A33">
        <w:rPr>
          <w:b/>
          <w:sz w:val="28"/>
          <w:szCs w:val="28"/>
          <w:u w:val="single"/>
        </w:rPr>
        <w:lastRenderedPageBreak/>
        <w:t>The Affordable Ho</w:t>
      </w:r>
      <w:r w:rsidR="000752E5" w:rsidRPr="00143A33">
        <w:rPr>
          <w:b/>
          <w:sz w:val="28"/>
          <w:szCs w:val="28"/>
          <w:u w:val="single"/>
        </w:rPr>
        <w:t>using Programme</w:t>
      </w:r>
    </w:p>
    <w:p w:rsidR="00F94509" w:rsidRDefault="00F94509" w:rsidP="00143A33">
      <w:pPr>
        <w:tabs>
          <w:tab w:val="left" w:pos="3261"/>
        </w:tabs>
        <w:rPr>
          <w:b/>
        </w:rPr>
      </w:pPr>
    </w:p>
    <w:p w:rsidR="00F94509" w:rsidRDefault="00F94509" w:rsidP="00143A33">
      <w:pPr>
        <w:pStyle w:val="ListParagraph"/>
        <w:numPr>
          <w:ilvl w:val="0"/>
          <w:numId w:val="7"/>
        </w:numPr>
        <w:tabs>
          <w:tab w:val="left" w:pos="3261"/>
        </w:tabs>
      </w:pPr>
      <w:r w:rsidRPr="00F94509">
        <w:t xml:space="preserve">Within the Housing and Growth Deal there are two elements to the housing delivery commitment made by the </w:t>
      </w:r>
      <w:r w:rsidR="00267C40" w:rsidRPr="00F94509">
        <w:t>partners,</w:t>
      </w:r>
      <w:r w:rsidRPr="00F94509">
        <w:t xml:space="preserve"> these are; </w:t>
      </w:r>
    </w:p>
    <w:p w:rsidR="00F94509" w:rsidRDefault="00F94509" w:rsidP="00143A33">
      <w:pPr>
        <w:tabs>
          <w:tab w:val="left" w:pos="3261"/>
        </w:tabs>
      </w:pPr>
    </w:p>
    <w:p w:rsidR="00F94509" w:rsidRDefault="00F94509" w:rsidP="00143A33">
      <w:pPr>
        <w:pStyle w:val="ListParagraph"/>
        <w:numPr>
          <w:ilvl w:val="0"/>
          <w:numId w:val="8"/>
        </w:numPr>
        <w:tabs>
          <w:tab w:val="left" w:pos="3261"/>
        </w:tabs>
        <w:ind w:left="709" w:hanging="142"/>
      </w:pPr>
      <w:r>
        <w:t>Homes from Infrastructure (HFI)- the acceleration of circa 6500 planned housing units- facilitated by the development of strategic infrastructure.</w:t>
      </w:r>
    </w:p>
    <w:p w:rsidR="00F94509" w:rsidRDefault="00F94509" w:rsidP="00143A33">
      <w:pPr>
        <w:tabs>
          <w:tab w:val="left" w:pos="3261"/>
        </w:tabs>
        <w:ind w:left="709" w:hanging="142"/>
      </w:pPr>
    </w:p>
    <w:p w:rsidR="00F94509" w:rsidRPr="00F94509" w:rsidRDefault="00F94509" w:rsidP="00143A33">
      <w:pPr>
        <w:pStyle w:val="ListParagraph"/>
        <w:numPr>
          <w:ilvl w:val="0"/>
          <w:numId w:val="8"/>
        </w:numPr>
        <w:tabs>
          <w:tab w:val="left" w:pos="3261"/>
        </w:tabs>
        <w:ind w:left="709" w:hanging="142"/>
      </w:pPr>
      <w:r>
        <w:t xml:space="preserve">Within the overall planned homes </w:t>
      </w:r>
      <w:r w:rsidR="00267C40">
        <w:t>commitment,</w:t>
      </w:r>
      <w:r>
        <w:t xml:space="preserve"> the provision of at least 1320 additional affordable homes.</w:t>
      </w:r>
    </w:p>
    <w:p w:rsidR="000752E5" w:rsidRDefault="000752E5" w:rsidP="00143A33">
      <w:pPr>
        <w:tabs>
          <w:tab w:val="left" w:pos="3261"/>
        </w:tabs>
      </w:pPr>
    </w:p>
    <w:p w:rsidR="00F94509" w:rsidRDefault="00F94509" w:rsidP="00143A33">
      <w:pPr>
        <w:pStyle w:val="ListParagraph"/>
        <w:numPr>
          <w:ilvl w:val="0"/>
          <w:numId w:val="7"/>
        </w:numPr>
        <w:tabs>
          <w:tab w:val="left" w:pos="3261"/>
        </w:tabs>
      </w:pPr>
      <w:r>
        <w:t xml:space="preserve">The focus of the affordable </w:t>
      </w:r>
      <w:r w:rsidR="00267C40">
        <w:t>housing element</w:t>
      </w:r>
      <w:r>
        <w:t xml:space="preserve"> of the work stream is on supporting increased housing delivery through the deployment of </w:t>
      </w:r>
      <w:r w:rsidR="00D54F96">
        <w:t>a</w:t>
      </w:r>
      <w:r>
        <w:t xml:space="preserve"> £60 million affordable housing fund. In effect the fund will be used to make a greater proportion of the planned homes affordable by providing grant funding for them to relevant partners.</w:t>
      </w:r>
    </w:p>
    <w:p w:rsidR="00F94509" w:rsidRDefault="00F94509" w:rsidP="00143A33">
      <w:pPr>
        <w:tabs>
          <w:tab w:val="left" w:pos="3261"/>
        </w:tabs>
      </w:pPr>
    </w:p>
    <w:p w:rsidR="00F94509" w:rsidRDefault="00F94509" w:rsidP="00143A33">
      <w:pPr>
        <w:pStyle w:val="ListParagraph"/>
        <w:numPr>
          <w:ilvl w:val="0"/>
          <w:numId w:val="7"/>
        </w:numPr>
        <w:tabs>
          <w:tab w:val="left" w:pos="3261"/>
        </w:tabs>
      </w:pPr>
      <w:r>
        <w:t>The £60m funding support</w:t>
      </w:r>
      <w:r w:rsidR="00C55698">
        <w:t>s</w:t>
      </w:r>
      <w:r>
        <w:t xml:space="preserve"> a bespoke Oxfordshire-wide </w:t>
      </w:r>
      <w:r w:rsidR="00267C40">
        <w:t>Affordable H</w:t>
      </w:r>
      <w:r>
        <w:t xml:space="preserve">ousing </w:t>
      </w:r>
      <w:r w:rsidR="00267C40">
        <w:t>P</w:t>
      </w:r>
      <w:r>
        <w:t>rogramme</w:t>
      </w:r>
      <w:r w:rsidR="00267C40">
        <w:t>(AHP)</w:t>
      </w:r>
      <w:r>
        <w:t xml:space="preserve"> that will support delivery of at least 1320 affordable homes across a range of tenures to </w:t>
      </w:r>
      <w:r w:rsidR="00267C40">
        <w:t xml:space="preserve">achieve contractual </w:t>
      </w:r>
      <w:r>
        <w:t xml:space="preserve">start on site by 2021. The fund is in addition to the existing Homes England Affordable Homes Programme. </w:t>
      </w:r>
    </w:p>
    <w:p w:rsidR="00F94509" w:rsidRDefault="00F94509" w:rsidP="00143A33">
      <w:pPr>
        <w:tabs>
          <w:tab w:val="left" w:pos="3261"/>
        </w:tabs>
      </w:pPr>
    </w:p>
    <w:p w:rsidR="004838E4" w:rsidRDefault="00F94509" w:rsidP="00143A33">
      <w:pPr>
        <w:pStyle w:val="ListParagraph"/>
        <w:numPr>
          <w:ilvl w:val="0"/>
          <w:numId w:val="7"/>
        </w:numPr>
        <w:tabs>
          <w:tab w:val="left" w:pos="3261"/>
        </w:tabs>
      </w:pPr>
      <w:r>
        <w:t xml:space="preserve">To demonstrate </w:t>
      </w:r>
      <w:r w:rsidR="004838E4">
        <w:t>the</w:t>
      </w:r>
      <w:r>
        <w:t xml:space="preserve"> ability to deliver the programme, the partners were asked to provide an indicative </w:t>
      </w:r>
      <w:r w:rsidR="006A2CB8">
        <w:t>AHP</w:t>
      </w:r>
      <w:r>
        <w:t xml:space="preserve"> over three years</w:t>
      </w:r>
      <w:r w:rsidR="004838E4">
        <w:t>. This programme was not designed to be our final commitment. It was however meant to demonstrate that there was capacity within the existing affordable housing ambitions of the councils to deliver a programme of additional affordable housing of this size.</w:t>
      </w:r>
    </w:p>
    <w:p w:rsidR="004838E4" w:rsidRDefault="004838E4" w:rsidP="00143A33">
      <w:pPr>
        <w:tabs>
          <w:tab w:val="left" w:pos="3261"/>
        </w:tabs>
      </w:pPr>
    </w:p>
    <w:p w:rsidR="00F94509" w:rsidRDefault="004838E4" w:rsidP="00143A33">
      <w:pPr>
        <w:pStyle w:val="ListParagraph"/>
        <w:numPr>
          <w:ilvl w:val="0"/>
          <w:numId w:val="7"/>
        </w:numPr>
        <w:tabs>
          <w:tab w:val="left" w:pos="3261"/>
        </w:tabs>
      </w:pPr>
      <w:r>
        <w:t xml:space="preserve">The indicative </w:t>
      </w:r>
      <w:r w:rsidR="006A2CB8">
        <w:t>AHP</w:t>
      </w:r>
      <w:r>
        <w:t xml:space="preserve"> was developed in a relatively short space of time and of necessity, largely consists of existing or planned schemes that the partners are either working upon delivering or are aware of. It was also based upon</w:t>
      </w:r>
      <w:r w:rsidR="00267C40">
        <w:t xml:space="preserve"> an estimate of developers and R</w:t>
      </w:r>
      <w:r>
        <w:t xml:space="preserve">egistered </w:t>
      </w:r>
      <w:r w:rsidR="00267C40">
        <w:t>P</w:t>
      </w:r>
      <w:r>
        <w:t xml:space="preserve">roviders </w:t>
      </w:r>
      <w:r w:rsidR="00267C40">
        <w:t>(RPs)</w:t>
      </w:r>
      <w:r>
        <w:t>to deliver affordable housing, over and above that which we would expect to secure through the planning process.</w:t>
      </w:r>
    </w:p>
    <w:p w:rsidR="00F94509" w:rsidRDefault="00F94509" w:rsidP="00143A33">
      <w:pPr>
        <w:tabs>
          <w:tab w:val="left" w:pos="3261"/>
        </w:tabs>
      </w:pPr>
    </w:p>
    <w:p w:rsidR="00F94509" w:rsidRDefault="00462F84" w:rsidP="00143A33">
      <w:pPr>
        <w:pStyle w:val="ListParagraph"/>
        <w:numPr>
          <w:ilvl w:val="0"/>
          <w:numId w:val="7"/>
        </w:numPr>
        <w:tabs>
          <w:tab w:val="left" w:pos="3261"/>
        </w:tabs>
      </w:pPr>
      <w:r>
        <w:t>The indicative</w:t>
      </w:r>
      <w:r w:rsidR="00B97E91">
        <w:t xml:space="preserve"> totals for the </w:t>
      </w:r>
      <w:r w:rsidR="006A2CB8">
        <w:t>AHP</w:t>
      </w:r>
      <w:r w:rsidR="00B97E91">
        <w:t xml:space="preserve"> was set out in the Deal Delivery Plan. It </w:t>
      </w:r>
      <w:r>
        <w:t>is split</w:t>
      </w:r>
      <w:r w:rsidR="00F94509">
        <w:t xml:space="preserve"> by indicative tenure, together with the average grant rates </w:t>
      </w:r>
      <w:r w:rsidR="00CF2D97">
        <w:t>agreed with</w:t>
      </w:r>
      <w:r w:rsidR="00267C40">
        <w:t xml:space="preserve">in the Deal </w:t>
      </w:r>
      <w:r w:rsidR="00F94509">
        <w:t>for each t</w:t>
      </w:r>
      <w:r w:rsidR="00CF2D97">
        <w:t>enure</w:t>
      </w:r>
      <w:r w:rsidR="00F94509">
        <w:t xml:space="preserve"> as follows.</w:t>
      </w:r>
    </w:p>
    <w:p w:rsidR="001B586D" w:rsidRDefault="001B586D" w:rsidP="001B586D">
      <w:pPr>
        <w:pStyle w:val="ListParagraph"/>
      </w:pPr>
      <w:bookmarkStart w:id="0" w:name="_GoBack"/>
      <w:bookmarkEnd w:id="0"/>
    </w:p>
    <w:p w:rsidR="001B586D" w:rsidRDefault="001B586D" w:rsidP="001B586D">
      <w:pPr>
        <w:tabs>
          <w:tab w:val="left" w:pos="3261"/>
        </w:tabs>
      </w:pPr>
    </w:p>
    <w:p w:rsidR="0057050C" w:rsidRDefault="0057050C" w:rsidP="001B586D">
      <w:pPr>
        <w:tabs>
          <w:tab w:val="left" w:pos="3261"/>
        </w:tabs>
      </w:pPr>
    </w:p>
    <w:p w:rsidR="001B586D" w:rsidRDefault="001B586D" w:rsidP="001B586D">
      <w:pPr>
        <w:tabs>
          <w:tab w:val="left" w:pos="3261"/>
        </w:tabs>
      </w:pPr>
    </w:p>
    <w:p w:rsidR="001B586D" w:rsidRDefault="001B586D" w:rsidP="001B586D">
      <w:pPr>
        <w:tabs>
          <w:tab w:val="left" w:pos="3261"/>
        </w:tabs>
      </w:pPr>
    </w:p>
    <w:p w:rsidR="001B586D" w:rsidRDefault="001B586D" w:rsidP="001B586D">
      <w:pPr>
        <w:tabs>
          <w:tab w:val="left" w:pos="3261"/>
        </w:tabs>
      </w:pPr>
    </w:p>
    <w:p w:rsidR="001B586D" w:rsidRDefault="001B586D" w:rsidP="001B586D">
      <w:pPr>
        <w:tabs>
          <w:tab w:val="left" w:pos="3261"/>
        </w:tabs>
      </w:pPr>
    </w:p>
    <w:p w:rsidR="00F94509" w:rsidRDefault="00F94509" w:rsidP="00143A33">
      <w:pPr>
        <w:tabs>
          <w:tab w:val="left" w:pos="3261"/>
        </w:tabs>
      </w:pPr>
    </w:p>
    <w:tbl>
      <w:tblPr>
        <w:tblW w:w="8647" w:type="dxa"/>
        <w:tblInd w:w="-5" w:type="dxa"/>
        <w:tblCellMar>
          <w:left w:w="10" w:type="dxa"/>
          <w:right w:w="10" w:type="dxa"/>
        </w:tblCellMar>
        <w:tblLook w:val="04A0" w:firstRow="1" w:lastRow="0" w:firstColumn="1" w:lastColumn="0" w:noHBand="0" w:noVBand="1"/>
      </w:tblPr>
      <w:tblGrid>
        <w:gridCol w:w="1470"/>
        <w:gridCol w:w="1132"/>
        <w:gridCol w:w="1408"/>
        <w:gridCol w:w="1191"/>
        <w:gridCol w:w="1887"/>
        <w:gridCol w:w="1559"/>
      </w:tblGrid>
      <w:tr w:rsidR="00F94509" w:rsidRPr="00F94509" w:rsidTr="009A3EB9">
        <w:tc>
          <w:tcPr>
            <w:tcW w:w="147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CF2D97" w:rsidRPr="00143A33" w:rsidRDefault="00CF2D97" w:rsidP="00143A33">
            <w:pPr>
              <w:pStyle w:val="ListParagraph"/>
              <w:tabs>
                <w:tab w:val="left" w:pos="3261"/>
              </w:tabs>
              <w:rPr>
                <w:b/>
                <w:sz w:val="22"/>
                <w:szCs w:val="22"/>
              </w:rPr>
            </w:pPr>
          </w:p>
          <w:p w:rsidR="00F94509" w:rsidRPr="00143A33" w:rsidRDefault="00F94509" w:rsidP="00143A33">
            <w:pPr>
              <w:tabs>
                <w:tab w:val="left" w:pos="3261"/>
              </w:tabs>
              <w:rPr>
                <w:b/>
                <w:sz w:val="22"/>
                <w:szCs w:val="22"/>
              </w:rPr>
            </w:pPr>
            <w:r w:rsidRPr="00143A33">
              <w:rPr>
                <w:b/>
                <w:sz w:val="22"/>
                <w:szCs w:val="22"/>
              </w:rPr>
              <w:t>Tenure and Split</w:t>
            </w:r>
          </w:p>
        </w:tc>
        <w:tc>
          <w:tcPr>
            <w:tcW w:w="113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CF2D97" w:rsidRPr="00143A33" w:rsidRDefault="00CF2D97" w:rsidP="00143A33">
            <w:pPr>
              <w:pStyle w:val="ListParagraph"/>
              <w:tabs>
                <w:tab w:val="left" w:pos="3261"/>
              </w:tabs>
              <w:rPr>
                <w:b/>
                <w:sz w:val="22"/>
                <w:szCs w:val="22"/>
              </w:rPr>
            </w:pPr>
          </w:p>
          <w:p w:rsidR="00F94509" w:rsidRPr="00143A33" w:rsidRDefault="00F94509" w:rsidP="00143A33">
            <w:pPr>
              <w:tabs>
                <w:tab w:val="left" w:pos="3261"/>
              </w:tabs>
              <w:rPr>
                <w:b/>
                <w:sz w:val="22"/>
                <w:szCs w:val="22"/>
              </w:rPr>
            </w:pPr>
            <w:r w:rsidRPr="00143A33">
              <w:rPr>
                <w:b/>
                <w:sz w:val="22"/>
                <w:szCs w:val="22"/>
              </w:rPr>
              <w:t>2018/19</w:t>
            </w:r>
          </w:p>
        </w:tc>
        <w:tc>
          <w:tcPr>
            <w:tcW w:w="140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CF2D97" w:rsidRPr="00143A33" w:rsidRDefault="00CF2D97" w:rsidP="00143A33">
            <w:pPr>
              <w:pStyle w:val="ListParagraph"/>
              <w:tabs>
                <w:tab w:val="left" w:pos="3261"/>
              </w:tabs>
              <w:rPr>
                <w:b/>
                <w:sz w:val="22"/>
                <w:szCs w:val="22"/>
              </w:rPr>
            </w:pPr>
          </w:p>
          <w:p w:rsidR="00F94509" w:rsidRPr="00143A33" w:rsidRDefault="00F94509" w:rsidP="00143A33">
            <w:pPr>
              <w:tabs>
                <w:tab w:val="left" w:pos="3261"/>
              </w:tabs>
              <w:rPr>
                <w:b/>
                <w:sz w:val="22"/>
                <w:szCs w:val="22"/>
              </w:rPr>
            </w:pPr>
            <w:r w:rsidRPr="00143A33">
              <w:rPr>
                <w:b/>
                <w:sz w:val="22"/>
                <w:szCs w:val="22"/>
              </w:rPr>
              <w:t>2019/20</w:t>
            </w:r>
          </w:p>
        </w:tc>
        <w:tc>
          <w:tcPr>
            <w:tcW w:w="119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CF2D97" w:rsidRPr="00143A33" w:rsidRDefault="00CF2D97" w:rsidP="00143A33">
            <w:pPr>
              <w:pStyle w:val="ListParagraph"/>
              <w:tabs>
                <w:tab w:val="left" w:pos="3261"/>
              </w:tabs>
              <w:rPr>
                <w:b/>
                <w:sz w:val="22"/>
                <w:szCs w:val="22"/>
              </w:rPr>
            </w:pPr>
          </w:p>
          <w:p w:rsidR="00F94509" w:rsidRPr="00143A33" w:rsidRDefault="00F94509" w:rsidP="00143A33">
            <w:pPr>
              <w:tabs>
                <w:tab w:val="left" w:pos="3261"/>
              </w:tabs>
              <w:rPr>
                <w:b/>
                <w:sz w:val="22"/>
                <w:szCs w:val="22"/>
              </w:rPr>
            </w:pPr>
            <w:r w:rsidRPr="00143A33">
              <w:rPr>
                <w:b/>
                <w:sz w:val="22"/>
                <w:szCs w:val="22"/>
              </w:rPr>
              <w:t>2020/21</w:t>
            </w:r>
          </w:p>
        </w:tc>
        <w:tc>
          <w:tcPr>
            <w:tcW w:w="188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F94509" w:rsidRPr="00143A33" w:rsidRDefault="00F94509" w:rsidP="00143A33">
            <w:pPr>
              <w:tabs>
                <w:tab w:val="left" w:pos="3261"/>
              </w:tabs>
              <w:rPr>
                <w:b/>
                <w:sz w:val="22"/>
                <w:szCs w:val="22"/>
              </w:rPr>
            </w:pPr>
            <w:r w:rsidRPr="00143A33">
              <w:rPr>
                <w:b/>
                <w:sz w:val="22"/>
                <w:szCs w:val="22"/>
              </w:rPr>
              <w:t>Total starts on site by 2021</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Pr>
          <w:p w:rsidR="00F94509" w:rsidRPr="00143A33" w:rsidRDefault="00F94509" w:rsidP="00143A33">
            <w:pPr>
              <w:tabs>
                <w:tab w:val="left" w:pos="3261"/>
              </w:tabs>
              <w:rPr>
                <w:b/>
                <w:sz w:val="22"/>
                <w:szCs w:val="22"/>
              </w:rPr>
            </w:pPr>
            <w:proofErr w:type="spellStart"/>
            <w:r w:rsidRPr="00143A33">
              <w:rPr>
                <w:b/>
                <w:sz w:val="22"/>
                <w:szCs w:val="22"/>
              </w:rPr>
              <w:t>Avge</w:t>
            </w:r>
            <w:proofErr w:type="spellEnd"/>
            <w:r w:rsidR="00CF2D97" w:rsidRPr="00143A33">
              <w:rPr>
                <w:b/>
                <w:sz w:val="22"/>
                <w:szCs w:val="22"/>
              </w:rPr>
              <w:t xml:space="preserve">. Grant rates per unit </w:t>
            </w:r>
            <w:r w:rsidRPr="00143A33">
              <w:rPr>
                <w:b/>
                <w:sz w:val="22"/>
                <w:szCs w:val="22"/>
              </w:rPr>
              <w:t xml:space="preserve"> </w:t>
            </w:r>
          </w:p>
        </w:tc>
      </w:tr>
      <w:tr w:rsidR="00F94509" w:rsidRPr="00F94509" w:rsidTr="009A3EB9">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4509" w:rsidRPr="00F94509" w:rsidRDefault="00F94509" w:rsidP="00143A33">
            <w:pPr>
              <w:tabs>
                <w:tab w:val="left" w:pos="3261"/>
              </w:tabs>
            </w:pPr>
            <w:r w:rsidRPr="00F94509">
              <w:t>Social Rent</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4509" w:rsidRPr="00F94509" w:rsidRDefault="00143A33" w:rsidP="00143A33">
            <w:pPr>
              <w:tabs>
                <w:tab w:val="left" w:pos="3261"/>
              </w:tabs>
            </w:pPr>
            <w:r>
              <w:t xml:space="preserve">     </w:t>
            </w:r>
            <w:r w:rsidR="00F94509" w:rsidRPr="00F94509">
              <w:t>49</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4509" w:rsidRPr="00F94509" w:rsidRDefault="00F94509" w:rsidP="00143A33">
            <w:pPr>
              <w:tabs>
                <w:tab w:val="left" w:pos="3261"/>
              </w:tabs>
              <w:jc w:val="center"/>
            </w:pPr>
            <w:r w:rsidRPr="00F94509">
              <w:t>272</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4509" w:rsidRPr="00F94509" w:rsidRDefault="00F94509" w:rsidP="00143A33">
            <w:pPr>
              <w:tabs>
                <w:tab w:val="left" w:pos="3261"/>
              </w:tabs>
              <w:jc w:val="center"/>
            </w:pPr>
            <w:r w:rsidRPr="00F94509">
              <w:t>383</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4509" w:rsidRPr="00F94509" w:rsidRDefault="00F94509" w:rsidP="00143A33">
            <w:pPr>
              <w:tabs>
                <w:tab w:val="left" w:pos="3261"/>
              </w:tabs>
              <w:jc w:val="center"/>
            </w:pPr>
            <w:r w:rsidRPr="00F94509">
              <w:t>704</w:t>
            </w:r>
          </w:p>
        </w:tc>
        <w:tc>
          <w:tcPr>
            <w:tcW w:w="1559" w:type="dxa"/>
            <w:tcBorders>
              <w:top w:val="single" w:sz="4" w:space="0" w:color="000000"/>
              <w:left w:val="single" w:sz="4" w:space="0" w:color="000000"/>
              <w:bottom w:val="single" w:sz="4" w:space="0" w:color="000000"/>
              <w:right w:val="single" w:sz="4" w:space="0" w:color="000000"/>
            </w:tcBorders>
          </w:tcPr>
          <w:p w:rsidR="00F94509" w:rsidRPr="00F94509" w:rsidRDefault="00F94509" w:rsidP="00143A33">
            <w:pPr>
              <w:tabs>
                <w:tab w:val="left" w:pos="3261"/>
              </w:tabs>
              <w:ind w:left="360"/>
            </w:pPr>
            <w:r w:rsidRPr="00F94509">
              <w:t>£55,000</w:t>
            </w:r>
          </w:p>
        </w:tc>
      </w:tr>
      <w:tr w:rsidR="00F94509" w:rsidRPr="00F94509" w:rsidTr="009A3EB9">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4509" w:rsidRPr="00F94509" w:rsidRDefault="00F94509" w:rsidP="00143A33">
            <w:pPr>
              <w:tabs>
                <w:tab w:val="left" w:pos="3261"/>
              </w:tabs>
            </w:pPr>
            <w:r w:rsidRPr="00F94509">
              <w:t>Affordable Rent</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4509" w:rsidRPr="00F94509" w:rsidRDefault="00143A33" w:rsidP="00143A33">
            <w:pPr>
              <w:tabs>
                <w:tab w:val="left" w:pos="3261"/>
              </w:tabs>
            </w:pPr>
            <w:r>
              <w:t xml:space="preserve">     </w:t>
            </w:r>
            <w:r w:rsidR="00F94509" w:rsidRPr="00F94509">
              <w:t>67</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4509" w:rsidRPr="00F94509" w:rsidRDefault="00F94509" w:rsidP="00143A33">
            <w:pPr>
              <w:tabs>
                <w:tab w:val="left" w:pos="3261"/>
              </w:tabs>
              <w:jc w:val="center"/>
            </w:pPr>
            <w:r w:rsidRPr="00F94509">
              <w:t>124</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4509" w:rsidRPr="00F94509" w:rsidRDefault="00F94509" w:rsidP="00143A33">
            <w:pPr>
              <w:tabs>
                <w:tab w:val="left" w:pos="3261"/>
              </w:tabs>
              <w:jc w:val="center"/>
            </w:pPr>
            <w:r w:rsidRPr="00F94509">
              <w:t>199</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4509" w:rsidRPr="00F94509" w:rsidRDefault="00143A33" w:rsidP="00143A33">
            <w:pPr>
              <w:tabs>
                <w:tab w:val="left" w:pos="3261"/>
              </w:tabs>
              <w:ind w:left="360"/>
            </w:pPr>
            <w:r>
              <w:t xml:space="preserve">    </w:t>
            </w:r>
            <w:r w:rsidR="00F94509" w:rsidRPr="00F94509">
              <w:t>390</w:t>
            </w:r>
          </w:p>
        </w:tc>
        <w:tc>
          <w:tcPr>
            <w:tcW w:w="1559" w:type="dxa"/>
            <w:tcBorders>
              <w:top w:val="single" w:sz="4" w:space="0" w:color="000000"/>
              <w:left w:val="single" w:sz="4" w:space="0" w:color="000000"/>
              <w:bottom w:val="single" w:sz="4" w:space="0" w:color="000000"/>
              <w:right w:val="single" w:sz="4" w:space="0" w:color="000000"/>
            </w:tcBorders>
          </w:tcPr>
          <w:p w:rsidR="00F94509" w:rsidRPr="00F94509" w:rsidRDefault="00F94509" w:rsidP="00143A33">
            <w:pPr>
              <w:tabs>
                <w:tab w:val="left" w:pos="3261"/>
              </w:tabs>
              <w:jc w:val="center"/>
            </w:pPr>
            <w:r w:rsidRPr="00F94509">
              <w:t>£40,000</w:t>
            </w:r>
          </w:p>
        </w:tc>
      </w:tr>
      <w:tr w:rsidR="00F94509" w:rsidRPr="00F94509" w:rsidTr="009A3EB9">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4509" w:rsidRPr="00F94509" w:rsidRDefault="00F94509" w:rsidP="00143A33">
            <w:pPr>
              <w:tabs>
                <w:tab w:val="left" w:pos="3261"/>
              </w:tabs>
            </w:pPr>
            <w:r w:rsidRPr="00F94509">
              <w:t>Shared ownership</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4509" w:rsidRPr="00F94509" w:rsidRDefault="00143A33" w:rsidP="00143A33">
            <w:pPr>
              <w:tabs>
                <w:tab w:val="left" w:pos="3261"/>
              </w:tabs>
            </w:pPr>
            <w:r>
              <w:t xml:space="preserve">     </w:t>
            </w:r>
            <w:r w:rsidR="00F94509" w:rsidRPr="00F94509">
              <w:t>32</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4509" w:rsidRPr="00F94509" w:rsidRDefault="00143A33" w:rsidP="00143A33">
            <w:pPr>
              <w:tabs>
                <w:tab w:val="left" w:pos="3261"/>
              </w:tabs>
            </w:pPr>
            <w:r>
              <w:t xml:space="preserve">       </w:t>
            </w:r>
            <w:r w:rsidR="00F94509" w:rsidRPr="00F94509">
              <w:t>68</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4509" w:rsidRPr="00F94509" w:rsidRDefault="00143A33" w:rsidP="00143A33">
            <w:pPr>
              <w:tabs>
                <w:tab w:val="left" w:pos="3261"/>
              </w:tabs>
            </w:pPr>
            <w:r>
              <w:t xml:space="preserve">    </w:t>
            </w:r>
            <w:r w:rsidR="00F94509" w:rsidRPr="00F94509">
              <w:t>128</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4509" w:rsidRPr="00F94509" w:rsidRDefault="00143A33" w:rsidP="00143A33">
            <w:pPr>
              <w:tabs>
                <w:tab w:val="left" w:pos="3261"/>
              </w:tabs>
            </w:pPr>
            <w:r>
              <w:t xml:space="preserve">          </w:t>
            </w:r>
            <w:r w:rsidR="00F94509" w:rsidRPr="00F94509">
              <w:t>22</w:t>
            </w:r>
            <w:r w:rsidR="00744F2A">
              <w:t>8</w:t>
            </w:r>
          </w:p>
        </w:tc>
        <w:tc>
          <w:tcPr>
            <w:tcW w:w="1559" w:type="dxa"/>
            <w:tcBorders>
              <w:top w:val="single" w:sz="4" w:space="0" w:color="000000"/>
              <w:left w:val="single" w:sz="4" w:space="0" w:color="000000"/>
              <w:bottom w:val="single" w:sz="4" w:space="0" w:color="000000"/>
              <w:right w:val="single" w:sz="4" w:space="0" w:color="000000"/>
            </w:tcBorders>
          </w:tcPr>
          <w:p w:rsidR="00F94509" w:rsidRPr="00F94509" w:rsidRDefault="00F94509" w:rsidP="00143A33">
            <w:pPr>
              <w:tabs>
                <w:tab w:val="left" w:pos="3261"/>
              </w:tabs>
              <w:ind w:left="360"/>
            </w:pPr>
            <w:r w:rsidRPr="00F94509">
              <w:t>£25,000</w:t>
            </w:r>
          </w:p>
        </w:tc>
      </w:tr>
      <w:tr w:rsidR="00F94509" w:rsidRPr="00F94509" w:rsidTr="009A3EB9">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4509" w:rsidRPr="00F94509" w:rsidRDefault="00F94509" w:rsidP="00143A33">
            <w:pPr>
              <w:tabs>
                <w:tab w:val="left" w:pos="3261"/>
              </w:tabs>
            </w:pPr>
            <w:r w:rsidRPr="00F94509">
              <w:t>Total</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4509" w:rsidRPr="00F94509" w:rsidRDefault="00143A33" w:rsidP="00143A33">
            <w:pPr>
              <w:tabs>
                <w:tab w:val="left" w:pos="3261"/>
              </w:tabs>
            </w:pPr>
            <w:r>
              <w:t xml:space="preserve">   </w:t>
            </w:r>
            <w:r w:rsidR="00F94509" w:rsidRPr="00F94509">
              <w:t>148</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4509" w:rsidRPr="00F94509" w:rsidRDefault="00143A33" w:rsidP="00143A33">
            <w:pPr>
              <w:tabs>
                <w:tab w:val="left" w:pos="3261"/>
              </w:tabs>
            </w:pPr>
            <w:r>
              <w:t xml:space="preserve">      </w:t>
            </w:r>
            <w:r w:rsidR="00F94509" w:rsidRPr="00F94509">
              <w:t>464</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4509" w:rsidRPr="00F94509" w:rsidRDefault="00F94509" w:rsidP="00143A33">
            <w:pPr>
              <w:tabs>
                <w:tab w:val="left" w:pos="3261"/>
              </w:tabs>
              <w:ind w:left="360"/>
            </w:pPr>
            <w:r w:rsidRPr="00F94509">
              <w:t>710</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4509" w:rsidRPr="00F94509" w:rsidRDefault="00143A33" w:rsidP="00143A33">
            <w:pPr>
              <w:tabs>
                <w:tab w:val="left" w:pos="3261"/>
              </w:tabs>
            </w:pPr>
            <w:r>
              <w:t xml:space="preserve">         </w:t>
            </w:r>
            <w:r w:rsidR="00F94509" w:rsidRPr="00F94509">
              <w:t>132</w:t>
            </w:r>
            <w:r w:rsidR="00744F2A">
              <w:t>2</w:t>
            </w:r>
          </w:p>
        </w:tc>
        <w:tc>
          <w:tcPr>
            <w:tcW w:w="155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F94509" w:rsidRPr="00F94509" w:rsidRDefault="00F94509" w:rsidP="00143A33">
            <w:pPr>
              <w:tabs>
                <w:tab w:val="left" w:pos="3261"/>
              </w:tabs>
              <w:ind w:left="360"/>
              <w:jc w:val="center"/>
            </w:pPr>
          </w:p>
        </w:tc>
      </w:tr>
    </w:tbl>
    <w:p w:rsidR="00F94509" w:rsidRDefault="00F94509" w:rsidP="00143A33">
      <w:pPr>
        <w:tabs>
          <w:tab w:val="left" w:pos="3261"/>
        </w:tabs>
      </w:pPr>
    </w:p>
    <w:p w:rsidR="00271913" w:rsidRDefault="00271913" w:rsidP="00143A33">
      <w:pPr>
        <w:pStyle w:val="ListParagraph"/>
        <w:numPr>
          <w:ilvl w:val="0"/>
          <w:numId w:val="7"/>
        </w:numPr>
        <w:tabs>
          <w:tab w:val="left" w:pos="3261"/>
        </w:tabs>
      </w:pPr>
      <w:r>
        <w:t xml:space="preserve">The milestones agreed with Homes England for the </w:t>
      </w:r>
      <w:r w:rsidR="00C55698">
        <w:t xml:space="preserve">AHP </w:t>
      </w:r>
      <w:r>
        <w:t>are:</w:t>
      </w:r>
    </w:p>
    <w:p w:rsidR="00271913" w:rsidRDefault="00271913" w:rsidP="00143A33">
      <w:pPr>
        <w:tabs>
          <w:tab w:val="left" w:pos="3261"/>
        </w:tabs>
      </w:pPr>
    </w:p>
    <w:p w:rsidR="00271913" w:rsidRDefault="00271913" w:rsidP="00143A33">
      <w:pPr>
        <w:pStyle w:val="ListParagraph"/>
        <w:numPr>
          <w:ilvl w:val="0"/>
          <w:numId w:val="10"/>
        </w:numPr>
        <w:tabs>
          <w:tab w:val="left" w:pos="3261"/>
        </w:tabs>
        <w:ind w:left="851" w:hanging="284"/>
      </w:pPr>
      <w:r>
        <w:t xml:space="preserve">Agreement of the Year One </w:t>
      </w:r>
      <w:r w:rsidR="00C55698">
        <w:t>AHP</w:t>
      </w:r>
      <w:r>
        <w:t>- March 2018</w:t>
      </w:r>
      <w:r w:rsidR="00CA667D">
        <w:t>.</w:t>
      </w:r>
    </w:p>
    <w:p w:rsidR="00271913" w:rsidRDefault="00143A33" w:rsidP="00143A33">
      <w:pPr>
        <w:pStyle w:val="ListParagraph"/>
        <w:numPr>
          <w:ilvl w:val="0"/>
          <w:numId w:val="10"/>
        </w:numPr>
        <w:tabs>
          <w:tab w:val="left" w:pos="3261"/>
        </w:tabs>
        <w:ind w:left="851" w:hanging="284"/>
      </w:pPr>
      <w:r>
        <w:t>A</w:t>
      </w:r>
      <w:r w:rsidR="00271913">
        <w:t xml:space="preserve">greement of the Years 2-3 </w:t>
      </w:r>
      <w:r w:rsidR="00C55698">
        <w:t>AHP, e</w:t>
      </w:r>
      <w:r w:rsidR="00271913">
        <w:t>nd of September 2018</w:t>
      </w:r>
      <w:r w:rsidR="00CA667D">
        <w:t>.</w:t>
      </w:r>
    </w:p>
    <w:p w:rsidR="00271913" w:rsidRDefault="00271913" w:rsidP="00143A33">
      <w:pPr>
        <w:pStyle w:val="ListParagraph"/>
        <w:numPr>
          <w:ilvl w:val="0"/>
          <w:numId w:val="10"/>
        </w:numPr>
        <w:tabs>
          <w:tab w:val="left" w:pos="3261"/>
        </w:tabs>
        <w:ind w:left="851" w:hanging="284"/>
      </w:pPr>
      <w:r>
        <w:t>Quarterly review and reporting of progress against the agreed targets leading to agreement of the final year end position at the third quarter meeting in January</w:t>
      </w:r>
      <w:r w:rsidR="00CA667D">
        <w:t>.</w:t>
      </w:r>
    </w:p>
    <w:p w:rsidR="00271913" w:rsidRDefault="00271913" w:rsidP="00143A33">
      <w:pPr>
        <w:tabs>
          <w:tab w:val="left" w:pos="3261"/>
        </w:tabs>
        <w:ind w:left="720" w:hanging="11"/>
      </w:pPr>
    </w:p>
    <w:p w:rsidR="00271913" w:rsidRPr="00143A33" w:rsidRDefault="00CA667D" w:rsidP="00143A33">
      <w:pPr>
        <w:tabs>
          <w:tab w:val="left" w:pos="3261"/>
        </w:tabs>
        <w:rPr>
          <w:b/>
          <w:sz w:val="28"/>
          <w:szCs w:val="28"/>
          <w:u w:val="single"/>
        </w:rPr>
      </w:pPr>
      <w:r w:rsidRPr="00143A33">
        <w:rPr>
          <w:b/>
          <w:sz w:val="28"/>
          <w:szCs w:val="28"/>
          <w:u w:val="single"/>
        </w:rPr>
        <w:t>Current Position</w:t>
      </w:r>
    </w:p>
    <w:p w:rsidR="00271913" w:rsidRDefault="00271913" w:rsidP="00143A33">
      <w:pPr>
        <w:tabs>
          <w:tab w:val="left" w:pos="3261"/>
        </w:tabs>
      </w:pPr>
    </w:p>
    <w:p w:rsidR="0074717B" w:rsidRDefault="0074717B" w:rsidP="00143A33">
      <w:pPr>
        <w:pStyle w:val="ListParagraph"/>
        <w:numPr>
          <w:ilvl w:val="0"/>
          <w:numId w:val="7"/>
        </w:numPr>
        <w:tabs>
          <w:tab w:val="left" w:pos="3261"/>
        </w:tabs>
      </w:pPr>
      <w:r w:rsidRPr="0074717B">
        <w:t>The agreed milestone for the delivery of the years 2-3 programme was met</w:t>
      </w:r>
      <w:r>
        <w:t xml:space="preserve"> in September 2018</w:t>
      </w:r>
      <w:r w:rsidRPr="0074717B">
        <w:t>.</w:t>
      </w:r>
    </w:p>
    <w:p w:rsidR="0074717B" w:rsidRDefault="0074717B" w:rsidP="00143A33">
      <w:pPr>
        <w:tabs>
          <w:tab w:val="left" w:pos="3261"/>
        </w:tabs>
      </w:pPr>
    </w:p>
    <w:p w:rsidR="00CA667D" w:rsidRDefault="00CA667D" w:rsidP="00143A33">
      <w:pPr>
        <w:pStyle w:val="ListParagraph"/>
        <w:numPr>
          <w:ilvl w:val="0"/>
          <w:numId w:val="7"/>
        </w:numPr>
        <w:tabs>
          <w:tab w:val="left" w:pos="3261"/>
        </w:tabs>
      </w:pPr>
      <w:r w:rsidRPr="00CA667D">
        <w:t xml:space="preserve">Officers </w:t>
      </w:r>
      <w:r w:rsidR="00C55698">
        <w:t xml:space="preserve">will be reporting in </w:t>
      </w:r>
      <w:r w:rsidR="0074717B">
        <w:t>detail</w:t>
      </w:r>
      <w:r w:rsidR="00C55698">
        <w:t xml:space="preserve"> on the </w:t>
      </w:r>
      <w:r w:rsidR="0074717B">
        <w:t>progress</w:t>
      </w:r>
      <w:r w:rsidR="00C55698">
        <w:t xml:space="preserve"> towards </w:t>
      </w:r>
      <w:r w:rsidR="0074717B">
        <w:t>delivery</w:t>
      </w:r>
      <w:r w:rsidR="00C55698">
        <w:t xml:space="preserve"> of the </w:t>
      </w:r>
      <w:r w:rsidR="0074717B">
        <w:t>year</w:t>
      </w:r>
      <w:r w:rsidR="00C55698">
        <w:t xml:space="preserve"> one </w:t>
      </w:r>
      <w:r w:rsidR="0074717B">
        <w:t>programme</w:t>
      </w:r>
      <w:r w:rsidR="00C55698">
        <w:t xml:space="preserve"> to the Growth Board on </w:t>
      </w:r>
      <w:r w:rsidR="0074717B">
        <w:t>29</w:t>
      </w:r>
      <w:r w:rsidR="0074717B" w:rsidRPr="00143A33">
        <w:rPr>
          <w:vertAlign w:val="superscript"/>
        </w:rPr>
        <w:t>th</w:t>
      </w:r>
      <w:r w:rsidR="0074717B">
        <w:t xml:space="preserve"> January. In summary, we </w:t>
      </w:r>
      <w:r w:rsidRPr="00CA667D">
        <w:t xml:space="preserve">are hopeful that we are on track to meet the target of delivering 148 affordable homes by March 2019 but recognise that more work is needed to ensure that these homes move to the trigger for completion agreed in the Deal, contractual Start on Site. </w:t>
      </w:r>
    </w:p>
    <w:p w:rsidR="0074717B" w:rsidRDefault="0074717B" w:rsidP="00143A33">
      <w:pPr>
        <w:tabs>
          <w:tab w:val="left" w:pos="3261"/>
        </w:tabs>
        <w:rPr>
          <w:b/>
          <w:sz w:val="28"/>
          <w:szCs w:val="28"/>
          <w:u w:val="single"/>
        </w:rPr>
      </w:pPr>
    </w:p>
    <w:p w:rsidR="00CA667D" w:rsidRPr="00143A33" w:rsidRDefault="00CA667D" w:rsidP="00143A33">
      <w:pPr>
        <w:tabs>
          <w:tab w:val="left" w:pos="3261"/>
        </w:tabs>
        <w:rPr>
          <w:b/>
          <w:sz w:val="28"/>
          <w:szCs w:val="28"/>
          <w:u w:val="single"/>
        </w:rPr>
      </w:pPr>
      <w:r w:rsidRPr="00143A33">
        <w:rPr>
          <w:b/>
          <w:sz w:val="28"/>
          <w:szCs w:val="28"/>
          <w:u w:val="single"/>
        </w:rPr>
        <w:t>Key issues</w:t>
      </w:r>
    </w:p>
    <w:p w:rsidR="00CA667D" w:rsidRDefault="00CA667D" w:rsidP="00143A33">
      <w:pPr>
        <w:tabs>
          <w:tab w:val="left" w:pos="3261"/>
        </w:tabs>
        <w:rPr>
          <w:b/>
        </w:rPr>
      </w:pPr>
    </w:p>
    <w:p w:rsidR="00CA667D" w:rsidRPr="00143A33" w:rsidRDefault="00CA667D" w:rsidP="00143A33">
      <w:pPr>
        <w:pStyle w:val="ListParagraph"/>
        <w:tabs>
          <w:tab w:val="left" w:pos="3261"/>
        </w:tabs>
        <w:rPr>
          <w:b/>
        </w:rPr>
      </w:pPr>
      <w:r w:rsidRPr="00143A33">
        <w:rPr>
          <w:b/>
        </w:rPr>
        <w:t xml:space="preserve">Developing a Gross programme </w:t>
      </w:r>
    </w:p>
    <w:p w:rsidR="00CA667D" w:rsidRDefault="00CA667D" w:rsidP="00143A33">
      <w:pPr>
        <w:tabs>
          <w:tab w:val="left" w:pos="3261"/>
        </w:tabs>
      </w:pPr>
    </w:p>
    <w:p w:rsidR="00997822" w:rsidRDefault="00997822" w:rsidP="00143A33">
      <w:pPr>
        <w:pStyle w:val="ListParagraph"/>
        <w:numPr>
          <w:ilvl w:val="0"/>
          <w:numId w:val="7"/>
        </w:numPr>
        <w:tabs>
          <w:tab w:val="left" w:pos="3261"/>
        </w:tabs>
      </w:pPr>
      <w:r w:rsidRPr="00997822">
        <w:t xml:space="preserve">The partners have developed </w:t>
      </w:r>
      <w:r w:rsidR="006A2CB8">
        <w:t xml:space="preserve">a </w:t>
      </w:r>
      <w:r w:rsidRPr="00997822">
        <w:t xml:space="preserve">Gross </w:t>
      </w:r>
      <w:r>
        <w:t xml:space="preserve">indicative </w:t>
      </w:r>
      <w:r w:rsidR="006A2CB8">
        <w:t xml:space="preserve">AHP </w:t>
      </w:r>
      <w:r w:rsidRPr="00997822">
        <w:t>from whic</w:t>
      </w:r>
      <w:r w:rsidR="006A2CB8">
        <w:t xml:space="preserve">h </w:t>
      </w:r>
      <w:r w:rsidR="00DC57D1">
        <w:t xml:space="preserve">to draw </w:t>
      </w:r>
      <w:r w:rsidR="006A2CB8">
        <w:t xml:space="preserve">the </w:t>
      </w:r>
      <w:r w:rsidR="00CA667D">
        <w:t>commitments agreed</w:t>
      </w:r>
      <w:r w:rsidR="006A2CB8">
        <w:t xml:space="preserve"> in the table above</w:t>
      </w:r>
      <w:r w:rsidR="00DC57D1">
        <w:t>.</w:t>
      </w:r>
      <w:r w:rsidRPr="00997822">
        <w:t xml:space="preserve"> For 2018/19 this </w:t>
      </w:r>
      <w:r w:rsidR="009A3EB9">
        <w:t xml:space="preserve">originally </w:t>
      </w:r>
      <w:r w:rsidRPr="00997822">
        <w:t>total</w:t>
      </w:r>
      <w:r>
        <w:t>led</w:t>
      </w:r>
      <w:r w:rsidRPr="00997822">
        <w:t xml:space="preserve"> </w:t>
      </w:r>
      <w:r w:rsidR="009A3EB9">
        <w:t>329</w:t>
      </w:r>
      <w:r w:rsidRPr="00997822">
        <w:t xml:space="preserve"> homes across the county compared to the required 148 homes. Similarly, across the three-year programme partners have constructed an indicative gross programme</w:t>
      </w:r>
      <w:r w:rsidR="00271913">
        <w:t>,</w:t>
      </w:r>
      <w:r w:rsidRPr="00997822">
        <w:t xml:space="preserve"> </w:t>
      </w:r>
      <w:r w:rsidR="00271913">
        <w:t xml:space="preserve">that currently totals </w:t>
      </w:r>
      <w:r w:rsidRPr="00997822">
        <w:t>1</w:t>
      </w:r>
      <w:r w:rsidR="006A2CB8">
        <w:t>65</w:t>
      </w:r>
      <w:r w:rsidR="00271913">
        <w:t>1</w:t>
      </w:r>
      <w:r w:rsidRPr="00997822">
        <w:t xml:space="preserve"> units from which </w:t>
      </w:r>
      <w:r w:rsidR="00DC57D1">
        <w:t xml:space="preserve">to draw </w:t>
      </w:r>
      <w:r w:rsidRPr="00997822">
        <w:t>the required 1320</w:t>
      </w:r>
      <w:r w:rsidR="00DC57D1">
        <w:t>.</w:t>
      </w:r>
    </w:p>
    <w:p w:rsidR="00997822" w:rsidRDefault="00997822" w:rsidP="00143A33">
      <w:pPr>
        <w:tabs>
          <w:tab w:val="left" w:pos="3261"/>
        </w:tabs>
      </w:pPr>
    </w:p>
    <w:p w:rsidR="0074717B" w:rsidRDefault="00997822" w:rsidP="00143A33">
      <w:pPr>
        <w:pStyle w:val="ListParagraph"/>
        <w:numPr>
          <w:ilvl w:val="0"/>
          <w:numId w:val="7"/>
        </w:numPr>
        <w:tabs>
          <w:tab w:val="left" w:pos="3261"/>
        </w:tabs>
      </w:pPr>
      <w:r w:rsidRPr="00997822">
        <w:t xml:space="preserve">Whilst the totality of these programmes should provide partners with confidence that there is a population of homes from which we can draw our required targets, officers are aware that </w:t>
      </w:r>
      <w:r w:rsidR="00271913">
        <w:t xml:space="preserve">the delivery </w:t>
      </w:r>
      <w:r w:rsidRPr="00997822">
        <w:t xml:space="preserve">each </w:t>
      </w:r>
      <w:r w:rsidR="00271913">
        <w:t>scheme</w:t>
      </w:r>
      <w:r w:rsidRPr="00997822">
        <w:t xml:space="preserve"> is a </w:t>
      </w:r>
      <w:r w:rsidR="00CA667D" w:rsidRPr="00997822">
        <w:t xml:space="preserve">project, with </w:t>
      </w:r>
      <w:r w:rsidRPr="00997822">
        <w:t>issues and challenges that must be addressed to ensure it reaches fruition.</w:t>
      </w:r>
    </w:p>
    <w:p w:rsidR="0074717B" w:rsidRDefault="0074717B" w:rsidP="00143A33">
      <w:pPr>
        <w:tabs>
          <w:tab w:val="left" w:pos="3261"/>
        </w:tabs>
      </w:pPr>
    </w:p>
    <w:p w:rsidR="0074717B" w:rsidRDefault="006A2CB8" w:rsidP="00143A33">
      <w:pPr>
        <w:pStyle w:val="ListParagraph"/>
        <w:numPr>
          <w:ilvl w:val="0"/>
          <w:numId w:val="7"/>
        </w:numPr>
        <w:tabs>
          <w:tab w:val="left" w:pos="3261"/>
        </w:tabs>
      </w:pPr>
      <w:r>
        <w:lastRenderedPageBreak/>
        <w:t xml:space="preserve">The experience of year one, with the gross programme only yielding some two thirds as actually deliverable should also serve as a reminder that the gross AHP developed need to be of sufficient size to withstand the drop off rates </w:t>
      </w:r>
      <w:r w:rsidR="00CA667D">
        <w:t xml:space="preserve">or movement of schemes between years </w:t>
      </w:r>
      <w:r>
        <w:t>we are experiencing</w:t>
      </w:r>
      <w:r w:rsidR="0074717B">
        <w:t>.</w:t>
      </w:r>
    </w:p>
    <w:p w:rsidR="00A47800" w:rsidRDefault="00A47800" w:rsidP="00A47800">
      <w:pPr>
        <w:pStyle w:val="ListParagraph"/>
      </w:pPr>
    </w:p>
    <w:p w:rsidR="00C13992" w:rsidRDefault="0074717B" w:rsidP="00143A33">
      <w:pPr>
        <w:pStyle w:val="ListParagraph"/>
        <w:numPr>
          <w:ilvl w:val="0"/>
          <w:numId w:val="7"/>
        </w:numPr>
        <w:tabs>
          <w:tab w:val="left" w:pos="3261"/>
        </w:tabs>
      </w:pPr>
      <w:r>
        <w:t>T</w:t>
      </w:r>
      <w:r w:rsidR="009A3EB9">
        <w:t>he</w:t>
      </w:r>
      <w:r w:rsidR="00CA667D">
        <w:t xml:space="preserve"> reasons for this </w:t>
      </w:r>
      <w:r w:rsidR="00DC57D1">
        <w:t>movement broadly</w:t>
      </w:r>
      <w:r w:rsidR="009A3EB9">
        <w:t xml:space="preserve"> </w:t>
      </w:r>
      <w:r w:rsidR="00C13992">
        <w:t>fell into two categories:</w:t>
      </w:r>
    </w:p>
    <w:p w:rsidR="00C13992" w:rsidRDefault="00C13992" w:rsidP="00143A33">
      <w:pPr>
        <w:tabs>
          <w:tab w:val="left" w:pos="3261"/>
        </w:tabs>
      </w:pPr>
    </w:p>
    <w:p w:rsidR="0074717B" w:rsidRDefault="00C13992" w:rsidP="00A47800">
      <w:pPr>
        <w:pStyle w:val="ListParagraph"/>
        <w:numPr>
          <w:ilvl w:val="0"/>
          <w:numId w:val="13"/>
        </w:numPr>
        <w:tabs>
          <w:tab w:val="left" w:pos="3261"/>
        </w:tabs>
        <w:ind w:left="993" w:hanging="426"/>
      </w:pPr>
      <w:r>
        <w:t xml:space="preserve">Firstly, challenges are financial, i.e. the scheme is struggling to be viable at the agreed grant rates. </w:t>
      </w:r>
      <w:r w:rsidR="0074717B">
        <w:t xml:space="preserve"> This is an ongoing challenge for the AHP.</w:t>
      </w:r>
    </w:p>
    <w:p w:rsidR="0074717B" w:rsidRDefault="0074717B" w:rsidP="00A47800">
      <w:pPr>
        <w:pStyle w:val="ListParagraph"/>
        <w:tabs>
          <w:tab w:val="left" w:pos="3261"/>
        </w:tabs>
        <w:ind w:left="993" w:hanging="426"/>
      </w:pPr>
    </w:p>
    <w:p w:rsidR="00C13992" w:rsidRDefault="00C13992" w:rsidP="00A47800">
      <w:pPr>
        <w:pStyle w:val="ListParagraph"/>
        <w:numPr>
          <w:ilvl w:val="0"/>
          <w:numId w:val="13"/>
        </w:numPr>
        <w:tabs>
          <w:tab w:val="left" w:pos="3261"/>
        </w:tabs>
        <w:ind w:left="993" w:hanging="426"/>
      </w:pPr>
      <w:r>
        <w:t>Secondly, the challenges were one of timing. The year one AHP had been developed from a standing start and many of the schemes were required to gather a pace they were not anticipating upon inception. This posed significant challenges, for example to get planning and procurement processes in place by 31st March 2019. Where these challenges were considered achievable they remined in the year one AHP, otherwise they had been earmarked for year two.</w:t>
      </w:r>
    </w:p>
    <w:p w:rsidR="009A3EB9" w:rsidRDefault="009A3EB9" w:rsidP="00143A33">
      <w:pPr>
        <w:tabs>
          <w:tab w:val="left" w:pos="3261"/>
        </w:tabs>
      </w:pPr>
    </w:p>
    <w:p w:rsidR="009A3EB9" w:rsidRDefault="009A3EB9" w:rsidP="00143A33">
      <w:pPr>
        <w:pStyle w:val="ListParagraph"/>
        <w:numPr>
          <w:ilvl w:val="0"/>
          <w:numId w:val="7"/>
        </w:numPr>
        <w:tabs>
          <w:tab w:val="left" w:pos="3261"/>
        </w:tabs>
      </w:pPr>
      <w:r>
        <w:t xml:space="preserve">The task for officers is therefore to </w:t>
      </w:r>
      <w:r w:rsidR="00BD7A92">
        <w:t xml:space="preserve">include </w:t>
      </w:r>
      <w:r>
        <w:t xml:space="preserve">sufficient schemes </w:t>
      </w:r>
      <w:r w:rsidR="00BD7A92">
        <w:t xml:space="preserve">within the AHP </w:t>
      </w:r>
      <w:r>
        <w:t>to ensure d</w:t>
      </w:r>
      <w:r w:rsidR="0074717B">
        <w:t xml:space="preserve">elivery against target, whilst </w:t>
      </w:r>
      <w:r>
        <w:t>at the same time steering the schemes included towards Deal Completion, contractual start on site.</w:t>
      </w:r>
    </w:p>
    <w:p w:rsidR="00C13992" w:rsidRDefault="00C13992" w:rsidP="00143A33">
      <w:pPr>
        <w:tabs>
          <w:tab w:val="left" w:pos="3261"/>
        </w:tabs>
      </w:pPr>
    </w:p>
    <w:p w:rsidR="00F50D30" w:rsidRPr="00143A33" w:rsidRDefault="000852E2" w:rsidP="00143A33">
      <w:pPr>
        <w:pStyle w:val="ListParagraph"/>
        <w:tabs>
          <w:tab w:val="left" w:pos="3261"/>
        </w:tabs>
        <w:rPr>
          <w:b/>
        </w:rPr>
      </w:pPr>
      <w:r w:rsidRPr="00143A33">
        <w:rPr>
          <w:b/>
        </w:rPr>
        <w:t>Building Partnerships</w:t>
      </w:r>
      <w:r w:rsidR="00F50D30" w:rsidRPr="00143A33">
        <w:rPr>
          <w:b/>
        </w:rPr>
        <w:t xml:space="preserve"> </w:t>
      </w:r>
    </w:p>
    <w:p w:rsidR="00F50D30" w:rsidRDefault="00F50D30" w:rsidP="00143A33">
      <w:pPr>
        <w:tabs>
          <w:tab w:val="left" w:pos="3261"/>
        </w:tabs>
      </w:pPr>
    </w:p>
    <w:p w:rsidR="00EA34C8" w:rsidRDefault="00EA34C8" w:rsidP="00143A33">
      <w:pPr>
        <w:pStyle w:val="ListParagraph"/>
        <w:numPr>
          <w:ilvl w:val="0"/>
          <w:numId w:val="7"/>
        </w:numPr>
        <w:tabs>
          <w:tab w:val="left" w:pos="3261"/>
        </w:tabs>
      </w:pPr>
      <w:r>
        <w:t>The Scrutiny Panel will be aware that the Affordable Housing provided in Oxfordshire is through either local housing companies in Oxford and Cherwell, wholly owned development arms of the councils or through Registered Providers taking up affordable housing secured through the S106 planning obligations imposed by councils on developers</w:t>
      </w:r>
      <w:r w:rsidR="00BD7A92">
        <w:t>, with the la</w:t>
      </w:r>
      <w:r>
        <w:t xml:space="preserve">tter providing </w:t>
      </w:r>
      <w:r w:rsidR="00BD7A92">
        <w:t>much of</w:t>
      </w:r>
      <w:r>
        <w:t xml:space="preserve"> the affordable housing.</w:t>
      </w:r>
    </w:p>
    <w:p w:rsidR="00EA34C8" w:rsidRDefault="00EA34C8" w:rsidP="00143A33">
      <w:pPr>
        <w:tabs>
          <w:tab w:val="left" w:pos="3261"/>
        </w:tabs>
      </w:pPr>
    </w:p>
    <w:p w:rsidR="005F6E1C" w:rsidRDefault="00EA34C8" w:rsidP="00143A33">
      <w:pPr>
        <w:pStyle w:val="ListParagraph"/>
        <w:numPr>
          <w:ilvl w:val="0"/>
          <w:numId w:val="7"/>
        </w:numPr>
        <w:tabs>
          <w:tab w:val="left" w:pos="3261"/>
        </w:tabs>
      </w:pPr>
      <w:r>
        <w:t xml:space="preserve">In this context, and with the Deal requiring the ultimate owner of the homes to be a Registered Provider, the councils need to secure long term strategic partnerships to deliver the programme. Securing these partnerships is a </w:t>
      </w:r>
      <w:r w:rsidR="00CF2D97">
        <w:t>key challenge for the programme</w:t>
      </w:r>
      <w:r>
        <w:t>.</w:t>
      </w:r>
      <w:r w:rsidR="00CF2D97">
        <w:t xml:space="preserve"> </w:t>
      </w:r>
    </w:p>
    <w:p w:rsidR="005F6E1C" w:rsidRDefault="005F6E1C" w:rsidP="00143A33">
      <w:pPr>
        <w:tabs>
          <w:tab w:val="left" w:pos="3261"/>
        </w:tabs>
      </w:pPr>
    </w:p>
    <w:p w:rsidR="00CF2D97" w:rsidRDefault="00CF2D97" w:rsidP="00143A33">
      <w:pPr>
        <w:pStyle w:val="ListParagraph"/>
        <w:numPr>
          <w:ilvl w:val="0"/>
          <w:numId w:val="7"/>
        </w:numPr>
        <w:tabs>
          <w:tab w:val="left" w:pos="3261"/>
        </w:tabs>
      </w:pPr>
      <w:r>
        <w:t>Discussion and engagement with existing partners is underway</w:t>
      </w:r>
      <w:r w:rsidR="0074717B">
        <w:t>. T</w:t>
      </w:r>
      <w:r w:rsidR="005F6E1C">
        <w:t xml:space="preserve">his included a successful launch event held in September </w:t>
      </w:r>
      <w:r w:rsidR="0074717B">
        <w:t xml:space="preserve">2018 </w:t>
      </w:r>
      <w:r w:rsidR="005F6E1C">
        <w:t xml:space="preserve">and subsequent meetings with interested parties that are ongoing. </w:t>
      </w:r>
      <w:r w:rsidR="00EF3395">
        <w:t>Scrutiny will be aware that t</w:t>
      </w:r>
      <w:r>
        <w:t>o assist in th</w:t>
      </w:r>
      <w:r w:rsidR="0074717B">
        <w:t xml:space="preserve">ese conversations </w:t>
      </w:r>
      <w:r>
        <w:t>we have developed a prospectus for the Oxfordshire A</w:t>
      </w:r>
      <w:r w:rsidR="00EF3395">
        <w:t xml:space="preserve">ffordable Housing Programme </w:t>
      </w:r>
      <w:r w:rsidR="005F6E1C">
        <w:t>available o</w:t>
      </w:r>
      <w:r w:rsidR="00EA34C8">
        <w:t>n</w:t>
      </w:r>
      <w:r w:rsidR="005F6E1C">
        <w:t xml:space="preserve"> the Growth Board website.</w:t>
      </w:r>
    </w:p>
    <w:p w:rsidR="005F6E1C" w:rsidRDefault="005F6E1C" w:rsidP="00143A33">
      <w:pPr>
        <w:tabs>
          <w:tab w:val="left" w:pos="3261"/>
        </w:tabs>
      </w:pPr>
    </w:p>
    <w:p w:rsidR="00CF2D97" w:rsidRDefault="00CF2D97" w:rsidP="00143A33">
      <w:pPr>
        <w:pStyle w:val="ListParagraph"/>
        <w:numPr>
          <w:ilvl w:val="0"/>
          <w:numId w:val="7"/>
        </w:numPr>
        <w:tabs>
          <w:tab w:val="left" w:pos="3261"/>
        </w:tabs>
      </w:pPr>
      <w:r>
        <w:t xml:space="preserve">The intention </w:t>
      </w:r>
      <w:r w:rsidR="00CD0CEA">
        <w:t xml:space="preserve">of this promotion and subsequent conversations is to </w:t>
      </w:r>
      <w:r w:rsidR="00D00659">
        <w:t>present t</w:t>
      </w:r>
      <w:r>
        <w:t>he programme as an exciting opportunity for the councils and partners to deliver the first step in what is hoped to be a step change in affordable housing development.</w:t>
      </w:r>
    </w:p>
    <w:p w:rsidR="001B586D" w:rsidRDefault="001B586D" w:rsidP="001B586D">
      <w:pPr>
        <w:pStyle w:val="ListParagraph"/>
      </w:pPr>
    </w:p>
    <w:p w:rsidR="001B586D" w:rsidRDefault="001B586D" w:rsidP="001B586D">
      <w:pPr>
        <w:pStyle w:val="ListParagraph"/>
        <w:tabs>
          <w:tab w:val="left" w:pos="3261"/>
        </w:tabs>
      </w:pPr>
    </w:p>
    <w:p w:rsidR="00CD0CEA" w:rsidRDefault="00CD0CEA" w:rsidP="00143A33">
      <w:pPr>
        <w:tabs>
          <w:tab w:val="left" w:pos="3261"/>
        </w:tabs>
      </w:pPr>
    </w:p>
    <w:p w:rsidR="00D00659" w:rsidRDefault="00CF2D97" w:rsidP="00143A33">
      <w:pPr>
        <w:pStyle w:val="ListParagraph"/>
        <w:numPr>
          <w:ilvl w:val="0"/>
          <w:numId w:val="7"/>
        </w:numPr>
        <w:tabs>
          <w:tab w:val="left" w:pos="3261"/>
        </w:tabs>
      </w:pPr>
      <w:r>
        <w:t>The key me</w:t>
      </w:r>
      <w:r w:rsidR="00CD0CEA">
        <w:t xml:space="preserve">ssages </w:t>
      </w:r>
      <w:r w:rsidR="00D00659">
        <w:t>are:</w:t>
      </w:r>
    </w:p>
    <w:p w:rsidR="00143A33" w:rsidRDefault="00143A33" w:rsidP="00143A33">
      <w:pPr>
        <w:pStyle w:val="ListParagraph"/>
      </w:pPr>
    </w:p>
    <w:p w:rsidR="00D00659" w:rsidRDefault="00CF2D97" w:rsidP="00143A33">
      <w:pPr>
        <w:pStyle w:val="ListParagraph"/>
        <w:numPr>
          <w:ilvl w:val="0"/>
          <w:numId w:val="11"/>
        </w:numPr>
        <w:tabs>
          <w:tab w:val="left" w:pos="3261"/>
        </w:tabs>
      </w:pPr>
      <w:r>
        <w:t>The Councils are looking to build long term key strategic partnerships with Registered Providers and others to deliver Oxfordshire’s affordable housing requirements over the long term and will be seeking c</w:t>
      </w:r>
      <w:r w:rsidR="00D00659">
        <w:t>ommitment to such arrangements.</w:t>
      </w:r>
    </w:p>
    <w:p w:rsidR="00143A33" w:rsidRDefault="00143A33" w:rsidP="00143A33">
      <w:pPr>
        <w:pStyle w:val="ListParagraph"/>
        <w:tabs>
          <w:tab w:val="left" w:pos="3261"/>
        </w:tabs>
      </w:pPr>
    </w:p>
    <w:p w:rsidR="0074717B" w:rsidRDefault="0074717B" w:rsidP="00143A33">
      <w:pPr>
        <w:pStyle w:val="ListParagraph"/>
        <w:numPr>
          <w:ilvl w:val="0"/>
          <w:numId w:val="11"/>
        </w:numPr>
        <w:tabs>
          <w:tab w:val="left" w:pos="3261"/>
        </w:tabs>
      </w:pPr>
      <w:r>
        <w:t xml:space="preserve">We </w:t>
      </w:r>
      <w:r w:rsidR="00C94AF4">
        <w:t>want t</w:t>
      </w:r>
      <w:r>
        <w:t xml:space="preserve">o </w:t>
      </w:r>
      <w:r w:rsidR="00C94AF4">
        <w:t>provide</w:t>
      </w:r>
      <w:r>
        <w:t xml:space="preserve"> </w:t>
      </w:r>
      <w:r w:rsidR="00C94AF4">
        <w:t>additionality</w:t>
      </w:r>
      <w:r>
        <w:t xml:space="preserve"> in the AHP, n</w:t>
      </w:r>
      <w:r w:rsidR="00C94AF4">
        <w:t>o</w:t>
      </w:r>
      <w:r>
        <w:t xml:space="preserve">t </w:t>
      </w:r>
      <w:r w:rsidR="00C94AF4">
        <w:t>just</w:t>
      </w:r>
      <w:r>
        <w:t xml:space="preserve"> </w:t>
      </w:r>
      <w:r w:rsidR="00C94AF4">
        <w:t>additional</w:t>
      </w:r>
      <w:r>
        <w:t xml:space="preserve"> numbers from those we would secure through S106 arrangements but a</w:t>
      </w:r>
      <w:r w:rsidR="00C94AF4">
        <w:t>n AHP th</w:t>
      </w:r>
      <w:r>
        <w:t xml:space="preserve">at </w:t>
      </w:r>
      <w:r w:rsidR="00BD7A92">
        <w:t>is responding</w:t>
      </w:r>
      <w:r w:rsidR="00C94AF4">
        <w:t xml:space="preserve"> to the identified local needs that </w:t>
      </w:r>
      <w:r w:rsidR="00BD7A92">
        <w:t>the</w:t>
      </w:r>
      <w:r w:rsidR="00C94AF4">
        <w:t xml:space="preserve"> mainstream affordable housing programmes are not able to.</w:t>
      </w:r>
    </w:p>
    <w:p w:rsidR="00143A33" w:rsidRDefault="00143A33" w:rsidP="00143A33">
      <w:pPr>
        <w:pStyle w:val="ListParagraph"/>
      </w:pPr>
    </w:p>
    <w:p w:rsidR="00C94AF4" w:rsidRDefault="00C94AF4" w:rsidP="00143A33">
      <w:pPr>
        <w:pStyle w:val="ListParagraph"/>
        <w:numPr>
          <w:ilvl w:val="0"/>
          <w:numId w:val="11"/>
        </w:numPr>
        <w:tabs>
          <w:tab w:val="left" w:pos="3261"/>
        </w:tabs>
      </w:pPr>
      <w:r>
        <w:t xml:space="preserve">We have worked hard to make the AHP as attractive as possible financially, recognising that potential partners are already working with Homes England on their programmes and </w:t>
      </w:r>
      <w:r w:rsidR="00BD7A92">
        <w:t xml:space="preserve">we need to divert part of their attention towards the </w:t>
      </w:r>
      <w:r>
        <w:t>Oxfordshire AHP</w:t>
      </w:r>
      <w:r w:rsidR="00BD7A92">
        <w:t>.</w:t>
      </w:r>
    </w:p>
    <w:p w:rsidR="00EA34C8" w:rsidRDefault="00EA34C8" w:rsidP="00143A33">
      <w:pPr>
        <w:tabs>
          <w:tab w:val="left" w:pos="3261"/>
        </w:tabs>
      </w:pPr>
    </w:p>
    <w:p w:rsidR="00EA34C8" w:rsidRDefault="00D44D33" w:rsidP="000852E2">
      <w:pPr>
        <w:pStyle w:val="ListParagraph"/>
        <w:numPr>
          <w:ilvl w:val="0"/>
          <w:numId w:val="7"/>
        </w:numPr>
        <w:tabs>
          <w:tab w:val="left" w:pos="3261"/>
        </w:tabs>
      </w:pPr>
      <w:r>
        <w:t xml:space="preserve">The Deal Team have been encouraged by their discussions to date with </w:t>
      </w:r>
      <w:r w:rsidR="00BD7A92">
        <w:t>several</w:t>
      </w:r>
      <w:r>
        <w:t xml:space="preserve"> new Registered Providers, keen to work with us on the deal and to explore longer term partnership arrangements. Engagement with developers and landowners has been more challenging however and building this needs to be a focus for the work of the Deal team.</w:t>
      </w:r>
    </w:p>
    <w:p w:rsidR="00D44D33" w:rsidRDefault="00D44D33" w:rsidP="00143A33">
      <w:pPr>
        <w:tabs>
          <w:tab w:val="left" w:pos="3261"/>
        </w:tabs>
      </w:pPr>
    </w:p>
    <w:p w:rsidR="00D44D33" w:rsidRDefault="00D44D33" w:rsidP="000852E2">
      <w:pPr>
        <w:pStyle w:val="ListParagraph"/>
        <w:numPr>
          <w:ilvl w:val="0"/>
          <w:numId w:val="7"/>
        </w:numPr>
        <w:tabs>
          <w:tab w:val="left" w:pos="3261"/>
        </w:tabs>
      </w:pPr>
      <w:r>
        <w:t xml:space="preserve">In responding to this, one aspect of potential partnership work that needs further examination is how the councils, as planning authorities can offer a service that smooths the processes of affordable housing negotiation and provides greater certainty of outcome at an early for developers and Registered Providers.  Councils need to reflect upon this clear wish from potential partners and consider what arrangements </w:t>
      </w:r>
      <w:r w:rsidR="00BD7A92">
        <w:t>could be</w:t>
      </w:r>
      <w:r>
        <w:t xml:space="preserve"> put in place to meet this aspiration, whilst at the same time maintaining the probity of the planning process</w:t>
      </w:r>
    </w:p>
    <w:p w:rsidR="00CD0CEA" w:rsidRDefault="00CD0CEA" w:rsidP="00143A33">
      <w:pPr>
        <w:pStyle w:val="ListParagraph"/>
        <w:tabs>
          <w:tab w:val="left" w:pos="3261"/>
        </w:tabs>
      </w:pPr>
    </w:p>
    <w:p w:rsidR="00CD0CEA" w:rsidRPr="00143A33" w:rsidRDefault="000852E2" w:rsidP="000852E2">
      <w:pPr>
        <w:pStyle w:val="ListParagraph"/>
        <w:tabs>
          <w:tab w:val="left" w:pos="3261"/>
        </w:tabs>
        <w:rPr>
          <w:b/>
        </w:rPr>
      </w:pPr>
      <w:r>
        <w:rPr>
          <w:b/>
        </w:rPr>
        <w:t>I</w:t>
      </w:r>
      <w:r w:rsidR="00CD0CEA" w:rsidRPr="00143A33">
        <w:rPr>
          <w:b/>
        </w:rPr>
        <w:t>nnovation</w:t>
      </w:r>
    </w:p>
    <w:p w:rsidR="00CD0CEA" w:rsidRPr="00CD0CEA" w:rsidRDefault="00CD0CEA" w:rsidP="00143A33">
      <w:pPr>
        <w:tabs>
          <w:tab w:val="left" w:pos="3261"/>
        </w:tabs>
        <w:rPr>
          <w:b/>
        </w:rPr>
      </w:pPr>
    </w:p>
    <w:p w:rsidR="00D44D33" w:rsidRDefault="00CD0CEA" w:rsidP="000852E2">
      <w:pPr>
        <w:pStyle w:val="ListParagraph"/>
        <w:numPr>
          <w:ilvl w:val="0"/>
          <w:numId w:val="7"/>
        </w:numPr>
        <w:tabs>
          <w:tab w:val="left" w:pos="3261"/>
        </w:tabs>
      </w:pPr>
      <w:r>
        <w:t>Ou</w:t>
      </w:r>
      <w:r w:rsidR="004B3C8D">
        <w:t>r</w:t>
      </w:r>
      <w:r>
        <w:t xml:space="preserve"> commitment to </w:t>
      </w:r>
      <w:r w:rsidR="004B3C8D">
        <w:t>Government</w:t>
      </w:r>
      <w:r>
        <w:t xml:space="preserve"> ma</w:t>
      </w:r>
      <w:r w:rsidR="00F957B2">
        <w:t>d</w:t>
      </w:r>
      <w:r>
        <w:t>e it clear that i</w:t>
      </w:r>
      <w:r w:rsidR="00CF2D97">
        <w:t xml:space="preserve">nnovation is </w:t>
      </w:r>
      <w:r w:rsidR="00BD7A92">
        <w:t>key</w:t>
      </w:r>
      <w:r w:rsidR="00CF2D97">
        <w:t xml:space="preserve"> to the su</w:t>
      </w:r>
      <w:r w:rsidR="00D00659">
        <w:t xml:space="preserve">ccess of the </w:t>
      </w:r>
      <w:r w:rsidR="00A47800">
        <w:t xml:space="preserve">AHP </w:t>
      </w:r>
      <w:r w:rsidR="00D00659">
        <w:t xml:space="preserve">and we need to </w:t>
      </w:r>
      <w:r w:rsidR="00F957B2">
        <w:t xml:space="preserve">scope and </w:t>
      </w:r>
      <w:r w:rsidR="00D00659">
        <w:t xml:space="preserve">understand how we can work in partnership to promote and facilitate innovation, both in </w:t>
      </w:r>
      <w:r w:rsidR="00CF2D97">
        <w:t>terms of the product and the delivery vehicles that bring it forward.</w:t>
      </w:r>
    </w:p>
    <w:p w:rsidR="00496FE2" w:rsidRDefault="00496FE2" w:rsidP="00143A33">
      <w:pPr>
        <w:tabs>
          <w:tab w:val="left" w:pos="3261"/>
        </w:tabs>
      </w:pPr>
    </w:p>
    <w:p w:rsidR="00496FE2" w:rsidRDefault="00496FE2" w:rsidP="000852E2">
      <w:pPr>
        <w:pStyle w:val="ListParagraph"/>
        <w:numPr>
          <w:ilvl w:val="0"/>
          <w:numId w:val="7"/>
        </w:numPr>
        <w:tabs>
          <w:tab w:val="left" w:pos="3261"/>
        </w:tabs>
      </w:pPr>
      <w:r>
        <w:t xml:space="preserve">The Scrutiny panel will recall that in previous meetings we have discussed for example promoting modular build housing and self-build as two examples where we would like the AHP to be able to focus. </w:t>
      </w:r>
    </w:p>
    <w:p w:rsidR="004B3C8D" w:rsidRDefault="004B3C8D" w:rsidP="00143A33">
      <w:pPr>
        <w:tabs>
          <w:tab w:val="left" w:pos="3261"/>
        </w:tabs>
        <w:ind w:firstLine="70"/>
      </w:pPr>
    </w:p>
    <w:p w:rsidR="00B90C4B" w:rsidRDefault="00B90C4B" w:rsidP="000852E2">
      <w:pPr>
        <w:pStyle w:val="ListParagraph"/>
        <w:numPr>
          <w:ilvl w:val="0"/>
          <w:numId w:val="7"/>
        </w:numPr>
        <w:tabs>
          <w:tab w:val="left" w:pos="3261"/>
        </w:tabs>
      </w:pPr>
      <w:r>
        <w:t xml:space="preserve">When the officers met to discuss the </w:t>
      </w:r>
      <w:r w:rsidR="00A47800">
        <w:t>AHP</w:t>
      </w:r>
      <w:r>
        <w:t xml:space="preserve"> they identified the </w:t>
      </w:r>
      <w:r w:rsidR="00496FE2">
        <w:t xml:space="preserve">issue </w:t>
      </w:r>
      <w:r>
        <w:t xml:space="preserve">of land assembly as one key aspect that would underpin </w:t>
      </w:r>
      <w:r w:rsidR="008351B3">
        <w:t xml:space="preserve">a range of potential </w:t>
      </w:r>
      <w:r>
        <w:t>innovation</w:t>
      </w:r>
      <w:r w:rsidR="008351B3">
        <w:t>s</w:t>
      </w:r>
      <w:r w:rsidR="00A47800">
        <w:t>.</w:t>
      </w:r>
      <w:r w:rsidR="00496FE2">
        <w:t xml:space="preserve"> </w:t>
      </w:r>
      <w:r>
        <w:t>This is because o</w:t>
      </w:r>
      <w:r w:rsidRPr="00B90C4B">
        <w:t>ne of the biggest barriers to any innovati</w:t>
      </w:r>
      <w:r>
        <w:t xml:space="preserve">on is the </w:t>
      </w:r>
      <w:r w:rsidRPr="00B90C4B">
        <w:t xml:space="preserve">competitive nature of the housing </w:t>
      </w:r>
      <w:r>
        <w:t xml:space="preserve">land </w:t>
      </w:r>
      <w:r w:rsidRPr="00B90C4B">
        <w:t xml:space="preserve">market. </w:t>
      </w:r>
    </w:p>
    <w:p w:rsidR="00B90C4B" w:rsidRDefault="00B90C4B" w:rsidP="00143A33">
      <w:pPr>
        <w:tabs>
          <w:tab w:val="left" w:pos="3261"/>
        </w:tabs>
      </w:pPr>
    </w:p>
    <w:p w:rsidR="00B90C4B" w:rsidRDefault="00B90C4B" w:rsidP="000852E2">
      <w:pPr>
        <w:pStyle w:val="ListParagraph"/>
        <w:numPr>
          <w:ilvl w:val="0"/>
          <w:numId w:val="7"/>
        </w:numPr>
        <w:tabs>
          <w:tab w:val="left" w:pos="3261"/>
        </w:tabs>
      </w:pPr>
      <w:r w:rsidRPr="00B90C4B">
        <w:t xml:space="preserve">Almost all housing land is optioned to developers who </w:t>
      </w:r>
      <w:r w:rsidR="00D44D33">
        <w:t xml:space="preserve">then </w:t>
      </w:r>
      <w:r w:rsidRPr="00B90C4B">
        <w:t xml:space="preserve">land bank and bring land forward </w:t>
      </w:r>
      <w:r w:rsidR="00D44D33">
        <w:t xml:space="preserve">for development </w:t>
      </w:r>
      <w:r w:rsidRPr="00B90C4B">
        <w:t xml:space="preserve">when they believe it’s most financially advantageous. Once land is brought forward for planning a developer will seek, often at short notice a partner to take the affordable housing units they have developed to meet their planning obligations from them at the most competitive price. </w:t>
      </w:r>
    </w:p>
    <w:p w:rsidR="00B90C4B" w:rsidRDefault="00B90C4B" w:rsidP="00143A33">
      <w:pPr>
        <w:tabs>
          <w:tab w:val="left" w:pos="3261"/>
        </w:tabs>
      </w:pPr>
    </w:p>
    <w:p w:rsidR="00B90C4B" w:rsidRDefault="00B90C4B" w:rsidP="000852E2">
      <w:pPr>
        <w:pStyle w:val="ListParagraph"/>
        <w:numPr>
          <w:ilvl w:val="0"/>
          <w:numId w:val="7"/>
        </w:numPr>
        <w:tabs>
          <w:tab w:val="left" w:pos="3261"/>
        </w:tabs>
      </w:pPr>
      <w:r w:rsidRPr="00B90C4B">
        <w:t>This usually means that the units are largely</w:t>
      </w:r>
      <w:r>
        <w:t xml:space="preserve"> a fait-accompli for the R</w:t>
      </w:r>
      <w:r w:rsidRPr="00B90C4B">
        <w:t xml:space="preserve">egistered </w:t>
      </w:r>
      <w:r>
        <w:t>P</w:t>
      </w:r>
      <w:r w:rsidRPr="00B90C4B">
        <w:t>rovider and sold at a cost that leaves little room for flexibility in</w:t>
      </w:r>
      <w:r>
        <w:t>,</w:t>
      </w:r>
      <w:r w:rsidRPr="00B90C4B">
        <w:t xml:space="preserve"> for example design</w:t>
      </w:r>
    </w:p>
    <w:p w:rsidR="00F957B2" w:rsidRDefault="00F957B2" w:rsidP="00143A33">
      <w:pPr>
        <w:tabs>
          <w:tab w:val="left" w:pos="3261"/>
        </w:tabs>
      </w:pPr>
    </w:p>
    <w:p w:rsidR="00F957B2" w:rsidRDefault="00B90C4B" w:rsidP="000852E2">
      <w:pPr>
        <w:pStyle w:val="ListParagraph"/>
        <w:numPr>
          <w:ilvl w:val="0"/>
          <w:numId w:val="7"/>
        </w:numPr>
        <w:tabs>
          <w:tab w:val="left" w:pos="3261"/>
        </w:tabs>
      </w:pPr>
      <w:r>
        <w:t xml:space="preserve">If the partners </w:t>
      </w:r>
      <w:r w:rsidR="00BD7A92">
        <w:t>could</w:t>
      </w:r>
      <w:r>
        <w:t xml:space="preserve"> secure land for affordable housing by, for example buying the plots from the developer and then selling on to an RP or developing through </w:t>
      </w:r>
      <w:r w:rsidR="00496FE2">
        <w:t>in-house</w:t>
      </w:r>
      <w:r>
        <w:t xml:space="preserve"> </w:t>
      </w:r>
      <w:r w:rsidR="008351B3">
        <w:t>arrangements</w:t>
      </w:r>
      <w:r>
        <w:t xml:space="preserve">, they would buy </w:t>
      </w:r>
      <w:r w:rsidR="008351B3">
        <w:t>themselves</w:t>
      </w:r>
      <w:r>
        <w:t xml:space="preserve"> the space to consider a raft of innovative </w:t>
      </w:r>
      <w:r w:rsidR="008351B3">
        <w:t xml:space="preserve">approaches to design, </w:t>
      </w:r>
      <w:r w:rsidR="00BD7A92">
        <w:t>management,</w:t>
      </w:r>
      <w:r w:rsidR="008351B3">
        <w:t xml:space="preserve"> and tenure.</w:t>
      </w:r>
    </w:p>
    <w:p w:rsidR="00B90C4B" w:rsidRDefault="00B90C4B" w:rsidP="00143A33">
      <w:pPr>
        <w:tabs>
          <w:tab w:val="left" w:pos="3261"/>
        </w:tabs>
      </w:pPr>
    </w:p>
    <w:p w:rsidR="00B90C4B" w:rsidRDefault="00B90C4B" w:rsidP="000852E2">
      <w:pPr>
        <w:pStyle w:val="ListParagraph"/>
        <w:numPr>
          <w:ilvl w:val="0"/>
          <w:numId w:val="7"/>
        </w:numPr>
        <w:tabs>
          <w:tab w:val="left" w:pos="3261"/>
        </w:tabs>
      </w:pPr>
      <w:r>
        <w:t xml:space="preserve">Inevitably there would be a cost to this for the </w:t>
      </w:r>
      <w:r w:rsidR="008351B3">
        <w:t>partners but</w:t>
      </w:r>
      <w:r>
        <w:t xml:space="preserve"> it </w:t>
      </w:r>
      <w:r w:rsidR="008351B3">
        <w:t xml:space="preserve">could </w:t>
      </w:r>
      <w:proofErr w:type="gramStart"/>
      <w:r w:rsidR="008351B3">
        <w:t>be seen as</w:t>
      </w:r>
      <w:proofErr w:type="gramEnd"/>
      <w:r w:rsidR="008351B3">
        <w:t xml:space="preserve"> </w:t>
      </w:r>
      <w:r w:rsidR="00496FE2">
        <w:t>the cost</w:t>
      </w:r>
      <w:r>
        <w:t xml:space="preserve"> of </w:t>
      </w:r>
      <w:r w:rsidR="008351B3">
        <w:t>providing</w:t>
      </w:r>
      <w:r>
        <w:t xml:space="preserve"> the types of affordable housing </w:t>
      </w:r>
      <w:r w:rsidR="008351B3">
        <w:t>product</w:t>
      </w:r>
      <w:r>
        <w:t xml:space="preserve"> or </w:t>
      </w:r>
      <w:r w:rsidR="008351B3">
        <w:t>communities</w:t>
      </w:r>
      <w:r>
        <w:t xml:space="preserve"> that we </w:t>
      </w:r>
      <w:r w:rsidR="008351B3">
        <w:t>might</w:t>
      </w:r>
      <w:r>
        <w:t xml:space="preserve"> aspire to. </w:t>
      </w:r>
      <w:r w:rsidR="00036542">
        <w:t>More work is required to scope this potential innovation and understand its costs and benefits more clearly</w:t>
      </w:r>
    </w:p>
    <w:p w:rsidR="00B90C4B" w:rsidRPr="00496FE2" w:rsidRDefault="00B90C4B" w:rsidP="00143A33">
      <w:pPr>
        <w:tabs>
          <w:tab w:val="left" w:pos="3261"/>
        </w:tabs>
        <w:rPr>
          <w:b/>
          <w:sz w:val="28"/>
          <w:szCs w:val="28"/>
        </w:rPr>
      </w:pPr>
    </w:p>
    <w:p w:rsidR="004B3C8D" w:rsidRPr="000852E2" w:rsidRDefault="00496FE2" w:rsidP="000852E2">
      <w:pPr>
        <w:tabs>
          <w:tab w:val="left" w:pos="3261"/>
        </w:tabs>
        <w:rPr>
          <w:b/>
          <w:sz w:val="28"/>
          <w:szCs w:val="28"/>
        </w:rPr>
      </w:pPr>
      <w:r w:rsidRPr="000852E2">
        <w:rPr>
          <w:b/>
          <w:sz w:val="28"/>
          <w:szCs w:val="28"/>
        </w:rPr>
        <w:t xml:space="preserve">Conclusions </w:t>
      </w:r>
    </w:p>
    <w:p w:rsidR="00204C17" w:rsidRDefault="00204C17" w:rsidP="00143A33">
      <w:pPr>
        <w:tabs>
          <w:tab w:val="left" w:pos="3261"/>
        </w:tabs>
      </w:pPr>
    </w:p>
    <w:p w:rsidR="00204C17" w:rsidRDefault="00036542" w:rsidP="000852E2">
      <w:pPr>
        <w:pStyle w:val="ListParagraph"/>
        <w:numPr>
          <w:ilvl w:val="0"/>
          <w:numId w:val="7"/>
        </w:numPr>
        <w:tabs>
          <w:tab w:val="left" w:pos="3261"/>
        </w:tabs>
      </w:pPr>
      <w:r>
        <w:t>The Oxfordshire AHP is an exciting opportunity for the county to respond to the high levels of housing need we experience in Oxfordshire.</w:t>
      </w:r>
    </w:p>
    <w:p w:rsidR="00036542" w:rsidRDefault="00036542" w:rsidP="00143A33">
      <w:pPr>
        <w:tabs>
          <w:tab w:val="left" w:pos="3261"/>
        </w:tabs>
      </w:pPr>
    </w:p>
    <w:p w:rsidR="00036542" w:rsidRDefault="00036542" w:rsidP="000852E2">
      <w:pPr>
        <w:pStyle w:val="ListParagraph"/>
        <w:numPr>
          <w:ilvl w:val="0"/>
          <w:numId w:val="7"/>
        </w:numPr>
        <w:tabs>
          <w:tab w:val="left" w:pos="3261"/>
        </w:tabs>
      </w:pPr>
      <w:r>
        <w:t>Whilst the initial fund may be modest when compared to the total costs of meeting Oxfordshire’s affordable housing need, and the grant level</w:t>
      </w:r>
      <w:r w:rsidR="00A47800">
        <w:t>s</w:t>
      </w:r>
      <w:r>
        <w:t xml:space="preserve"> within it not game changers for partners, officers believe that this could be the first of a series of such funding streams if we can </w:t>
      </w:r>
      <w:r w:rsidR="00BD7A92">
        <w:t>p</w:t>
      </w:r>
      <w:r>
        <w:t xml:space="preserve">rove that we </w:t>
      </w:r>
      <w:proofErr w:type="gramStart"/>
      <w:r>
        <w:t>are able to</w:t>
      </w:r>
      <w:proofErr w:type="gramEnd"/>
      <w:r>
        <w:t xml:space="preserve"> deliver against the agreed targets.</w:t>
      </w:r>
    </w:p>
    <w:p w:rsidR="00036542" w:rsidRDefault="00036542" w:rsidP="00143A33">
      <w:pPr>
        <w:tabs>
          <w:tab w:val="left" w:pos="3261"/>
        </w:tabs>
      </w:pPr>
    </w:p>
    <w:p w:rsidR="00036542" w:rsidRDefault="00036542" w:rsidP="000852E2">
      <w:pPr>
        <w:pStyle w:val="ListParagraph"/>
        <w:numPr>
          <w:ilvl w:val="0"/>
          <w:numId w:val="7"/>
        </w:numPr>
        <w:tabs>
          <w:tab w:val="left" w:pos="3261"/>
        </w:tabs>
      </w:pPr>
      <w:r>
        <w:t>In this conte</w:t>
      </w:r>
      <w:r w:rsidR="00143A33">
        <w:t>x</w:t>
      </w:r>
      <w:r>
        <w:t xml:space="preserve">t, and with the </w:t>
      </w:r>
      <w:r w:rsidR="00143A33">
        <w:t>opportunity</w:t>
      </w:r>
      <w:r>
        <w:t xml:space="preserve"> to build longer term strategic </w:t>
      </w:r>
      <w:r w:rsidR="00143A33">
        <w:t>partnerships</w:t>
      </w:r>
      <w:r>
        <w:t xml:space="preserve"> and secure </w:t>
      </w:r>
      <w:r w:rsidR="00143A33">
        <w:t>innovative</w:t>
      </w:r>
      <w:r>
        <w:t xml:space="preserve"> methods of </w:t>
      </w:r>
      <w:r w:rsidR="00143A33">
        <w:t xml:space="preserve">delivery and product, </w:t>
      </w:r>
      <w:r w:rsidR="000852E2">
        <w:t xml:space="preserve">the AHP </w:t>
      </w:r>
      <w:r w:rsidR="00BD7A92">
        <w:t>is</w:t>
      </w:r>
      <w:r w:rsidR="00143A33">
        <w:t xml:space="preserve"> an opportunity to secure a step change in affordable housing delivery in the county.</w:t>
      </w:r>
    </w:p>
    <w:p w:rsidR="00CD0CEA" w:rsidRDefault="00CD0CEA" w:rsidP="00143A33">
      <w:pPr>
        <w:tabs>
          <w:tab w:val="left" w:pos="3261"/>
        </w:tabs>
      </w:pPr>
    </w:p>
    <w:p w:rsidR="00D00659" w:rsidRDefault="00D00659" w:rsidP="00143A33">
      <w:pPr>
        <w:tabs>
          <w:tab w:val="left" w:pos="3261"/>
        </w:tabs>
      </w:pPr>
    </w:p>
    <w:p w:rsidR="00D00659" w:rsidRDefault="00D00659" w:rsidP="00143A33">
      <w:pPr>
        <w:tabs>
          <w:tab w:val="left" w:pos="3261"/>
        </w:tabs>
      </w:pPr>
    </w:p>
    <w:p w:rsidR="00F34C1C" w:rsidRDefault="00F34C1C" w:rsidP="000852E2">
      <w:pPr>
        <w:pStyle w:val="ListParagraph"/>
        <w:numPr>
          <w:ilvl w:val="0"/>
          <w:numId w:val="7"/>
        </w:numPr>
        <w:tabs>
          <w:tab w:val="left" w:pos="3261"/>
        </w:tabs>
      </w:pPr>
      <w:r>
        <w:br w:type="page"/>
      </w:r>
    </w:p>
    <w:p w:rsidR="00F94509" w:rsidRPr="00F34C1C" w:rsidRDefault="00F34C1C" w:rsidP="000752E5">
      <w:pPr>
        <w:rPr>
          <w:b/>
        </w:rPr>
      </w:pPr>
      <w:r w:rsidRPr="00F34C1C">
        <w:rPr>
          <w:b/>
        </w:rPr>
        <w:lastRenderedPageBreak/>
        <w:t xml:space="preserve">Appendix- Definition of Affordable Housing </w:t>
      </w:r>
    </w:p>
    <w:p w:rsidR="00F94509" w:rsidRDefault="00F94509" w:rsidP="000752E5"/>
    <w:p w:rsidR="00F34C1C" w:rsidRDefault="00F34C1C" w:rsidP="00F34C1C">
      <w:pPr>
        <w:ind w:left="426"/>
      </w:pPr>
      <w:r>
        <w:rPr>
          <w:b/>
          <w:u w:val="single"/>
        </w:rPr>
        <w:t xml:space="preserve">Definition of Affordable Housing </w:t>
      </w:r>
    </w:p>
    <w:p w:rsidR="00F34C1C" w:rsidRDefault="00F34C1C" w:rsidP="00F34C1C">
      <w:pPr>
        <w:ind w:left="426"/>
        <w:rPr>
          <w:b/>
        </w:rPr>
      </w:pPr>
    </w:p>
    <w:p w:rsidR="00F34C1C" w:rsidRDefault="00F34C1C" w:rsidP="00F34C1C">
      <w:pPr>
        <w:autoSpaceDE w:val="0"/>
        <w:ind w:left="426"/>
      </w:pPr>
      <w:r>
        <w:rPr>
          <w:rFonts w:eastAsia="Calibri"/>
          <w:b/>
          <w:bCs/>
          <w:color w:val="000000"/>
          <w:sz w:val="23"/>
          <w:szCs w:val="23"/>
        </w:rPr>
        <w:t xml:space="preserve">Affordable housing: </w:t>
      </w:r>
      <w:r>
        <w:rPr>
          <w:rFonts w:eastAsia="Calibri"/>
          <w:color w:val="000000"/>
          <w:sz w:val="23"/>
          <w:szCs w:val="23"/>
        </w:rPr>
        <w:t xml:space="preserve">housing for sale or rent, for those whose needs are not met by the market (including housing that provides a subsidised route to home ownership and/or is for essential local workers); and which complies with one or more of the following definitions: </w:t>
      </w:r>
    </w:p>
    <w:p w:rsidR="00F34C1C" w:rsidRDefault="00F34C1C" w:rsidP="00F34C1C">
      <w:pPr>
        <w:autoSpaceDE w:val="0"/>
        <w:spacing w:after="163"/>
        <w:ind w:left="426"/>
      </w:pPr>
      <w:r>
        <w:rPr>
          <w:rFonts w:eastAsia="Calibri"/>
          <w:color w:val="000000"/>
          <w:sz w:val="23"/>
          <w:szCs w:val="23"/>
        </w:rPr>
        <w:t xml:space="preserve">a) </w:t>
      </w:r>
      <w:r>
        <w:rPr>
          <w:rFonts w:eastAsia="Calibri"/>
          <w:b/>
          <w:bCs/>
          <w:color w:val="000000"/>
          <w:sz w:val="23"/>
          <w:szCs w:val="23"/>
        </w:rPr>
        <w:t xml:space="preserve">Affordable housing for rent: </w:t>
      </w:r>
      <w:r>
        <w:rPr>
          <w:rFonts w:eastAsia="Calibri"/>
          <w:color w:val="000000"/>
          <w:sz w:val="23"/>
          <w:szCs w:val="23"/>
        </w:rPr>
        <w:t xml:space="preserve">meets all of the following conditions: (a) the rent is set in accordance with the Government’s rent policy for Social Rent or Affordable Rent, or is at least 20% below local market rents (including service charges where applicable); (b) the landlord is a registered provider, except where it is included as part of a Build to Rent scheme (in which case the landlord need not be a registered provider); and (c) it includes provisions to remain at an affordable price for future eligible households, or for the subsidy to be recycled for alternative affordable housing provision. For Build to Rent schemes affordable housing for rent is expected to be the normal form of affordable housing provision (and, in this context, is known as Affordable Private Rent). </w:t>
      </w:r>
    </w:p>
    <w:p w:rsidR="00F34C1C" w:rsidRDefault="00F34C1C" w:rsidP="00F34C1C">
      <w:pPr>
        <w:autoSpaceDE w:val="0"/>
        <w:spacing w:after="163"/>
        <w:ind w:left="426"/>
      </w:pPr>
      <w:r>
        <w:rPr>
          <w:rFonts w:eastAsia="Calibri"/>
          <w:color w:val="000000"/>
          <w:sz w:val="23"/>
          <w:szCs w:val="23"/>
        </w:rPr>
        <w:t xml:space="preserve">b) </w:t>
      </w:r>
      <w:r>
        <w:rPr>
          <w:rFonts w:eastAsia="Calibri"/>
          <w:b/>
          <w:bCs/>
          <w:color w:val="000000"/>
          <w:sz w:val="23"/>
          <w:szCs w:val="23"/>
        </w:rPr>
        <w:t xml:space="preserve">Starter homes: </w:t>
      </w:r>
      <w:r>
        <w:rPr>
          <w:rFonts w:eastAsia="Calibri"/>
          <w:color w:val="000000"/>
          <w:sz w:val="23"/>
          <w:szCs w:val="23"/>
        </w:rPr>
        <w:t xml:space="preserve">is as specified in Sections 2 and 3 of the Housing and Planning Act 2016 and any secondary legislation made under these sections. The definition of a starter home should reflect the meaning set out in statute and any such secondary legislation at the time of plan-preparation or decision-making. Where secondary legislation has the effect of limiting a household’s eligibility to purchase a starter home to those with a maximum level of household income, those restrictions should be used. </w:t>
      </w:r>
    </w:p>
    <w:p w:rsidR="00F34C1C" w:rsidRDefault="00F34C1C" w:rsidP="00F34C1C">
      <w:pPr>
        <w:autoSpaceDE w:val="0"/>
        <w:spacing w:after="163"/>
        <w:ind w:left="426"/>
      </w:pPr>
      <w:r>
        <w:rPr>
          <w:rFonts w:eastAsia="Calibri"/>
          <w:color w:val="000000"/>
          <w:sz w:val="23"/>
          <w:szCs w:val="23"/>
        </w:rPr>
        <w:t xml:space="preserve">c) </w:t>
      </w:r>
      <w:r>
        <w:rPr>
          <w:rFonts w:eastAsia="Calibri"/>
          <w:b/>
          <w:bCs/>
          <w:color w:val="000000"/>
          <w:sz w:val="23"/>
          <w:szCs w:val="23"/>
        </w:rPr>
        <w:t xml:space="preserve">Discounted market sales housing: </w:t>
      </w:r>
      <w:r>
        <w:rPr>
          <w:rFonts w:eastAsia="Calibri"/>
          <w:color w:val="000000"/>
          <w:sz w:val="23"/>
          <w:szCs w:val="23"/>
        </w:rPr>
        <w:t xml:space="preserve">is that sold at a discount of at least 20% below local market value. Eligibility is determined </w:t>
      </w:r>
      <w:proofErr w:type="gramStart"/>
      <w:r>
        <w:rPr>
          <w:rFonts w:eastAsia="Calibri"/>
          <w:color w:val="000000"/>
          <w:sz w:val="23"/>
          <w:szCs w:val="23"/>
        </w:rPr>
        <w:t>with regard to</w:t>
      </w:r>
      <w:proofErr w:type="gramEnd"/>
      <w:r>
        <w:rPr>
          <w:rFonts w:eastAsia="Calibri"/>
          <w:color w:val="000000"/>
          <w:sz w:val="23"/>
          <w:szCs w:val="23"/>
        </w:rPr>
        <w:t xml:space="preserve"> local incomes and local house prices. Provisions should be in place to ensure housing remains at a discount for future eligible households. </w:t>
      </w:r>
    </w:p>
    <w:p w:rsidR="00F34C1C" w:rsidRDefault="00F34C1C" w:rsidP="00F34C1C">
      <w:pPr>
        <w:autoSpaceDE w:val="0"/>
        <w:ind w:left="426"/>
      </w:pPr>
      <w:r>
        <w:rPr>
          <w:rFonts w:eastAsia="Calibri"/>
          <w:color w:val="000000"/>
          <w:sz w:val="23"/>
          <w:szCs w:val="23"/>
        </w:rPr>
        <w:t xml:space="preserve">d) </w:t>
      </w:r>
      <w:r>
        <w:rPr>
          <w:rFonts w:eastAsia="Calibri"/>
          <w:b/>
          <w:bCs/>
          <w:color w:val="000000"/>
          <w:sz w:val="23"/>
          <w:szCs w:val="23"/>
        </w:rPr>
        <w:t xml:space="preserve">Other affordable routes to home ownership: </w:t>
      </w:r>
      <w:r>
        <w:rPr>
          <w:rFonts w:eastAsia="Calibri"/>
          <w:color w:val="000000"/>
          <w:sz w:val="23"/>
          <w:szCs w:val="23"/>
        </w:rPr>
        <w:t xml:space="preserve">is housing provided for sale that provides a route to ownership for those who could not achieve home ownership through the market. It includes shared ownership, relevant equity loans, other </w:t>
      </w:r>
      <w:r w:rsidR="00BD7A92">
        <w:rPr>
          <w:rFonts w:eastAsia="Calibri"/>
          <w:color w:val="000000"/>
          <w:sz w:val="23"/>
          <w:szCs w:val="23"/>
        </w:rPr>
        <w:t>low-cost</w:t>
      </w:r>
      <w:r>
        <w:rPr>
          <w:rFonts w:eastAsia="Calibri"/>
          <w:color w:val="000000"/>
          <w:sz w:val="23"/>
          <w:szCs w:val="23"/>
        </w:rPr>
        <w:t xml:space="preserve"> homes for sale (at a price equivalent to at least 20% below local market value) and rent to buy (which includes a period of intermediate rent). Where public grant funding is provided, there should be provisions for the homes to remain at an affordable price for future eligible households, or for any receipts to be recycled for alternative affordable housing provision, or refunded to Government or the relevant authority specified in the funding agreement. </w:t>
      </w:r>
    </w:p>
    <w:p w:rsidR="00F94509" w:rsidRDefault="00F94509" w:rsidP="000752E5"/>
    <w:p w:rsidR="00F94509" w:rsidRDefault="00F94509" w:rsidP="000752E5"/>
    <w:p w:rsidR="00F94509" w:rsidRDefault="00F94509" w:rsidP="000752E5"/>
    <w:p w:rsidR="00F94509" w:rsidRDefault="00F94509" w:rsidP="000752E5"/>
    <w:p w:rsidR="00F94509" w:rsidRDefault="00F94509" w:rsidP="000752E5"/>
    <w:sectPr w:rsidR="00F9450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86D" w:rsidRDefault="001B586D" w:rsidP="001B586D">
      <w:r>
        <w:separator/>
      </w:r>
    </w:p>
  </w:endnote>
  <w:endnote w:type="continuationSeparator" w:id="0">
    <w:p w:rsidR="001B586D" w:rsidRDefault="001B586D" w:rsidP="001B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86D" w:rsidRDefault="001B586D" w:rsidP="001B586D">
      <w:r>
        <w:separator/>
      </w:r>
    </w:p>
  </w:footnote>
  <w:footnote w:type="continuationSeparator" w:id="0">
    <w:p w:rsidR="001B586D" w:rsidRDefault="001B586D" w:rsidP="001B5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86D" w:rsidRPr="001B586D" w:rsidRDefault="001B586D">
    <w:pPr>
      <w:pStyle w:val="Header"/>
      <w:rPr>
        <w:sz w:val="16"/>
        <w:szCs w:val="16"/>
      </w:rPr>
    </w:pPr>
    <w:r w:rsidRPr="001B586D">
      <w:rPr>
        <w:sz w:val="16"/>
        <w:szCs w:val="16"/>
      </w:rPr>
      <w:t>Oxfordshire Growth Board Scrutiny Panel</w:t>
    </w:r>
  </w:p>
  <w:p w:rsidR="001B586D" w:rsidRPr="001B586D" w:rsidRDefault="001B586D">
    <w:pPr>
      <w:pStyle w:val="Header"/>
      <w:rPr>
        <w:sz w:val="16"/>
        <w:szCs w:val="16"/>
      </w:rPr>
    </w:pPr>
    <w:r w:rsidRPr="001B586D">
      <w:rPr>
        <w:sz w:val="16"/>
        <w:szCs w:val="16"/>
      </w:rPr>
      <w:t>24</w:t>
    </w:r>
    <w:r w:rsidRPr="001B586D">
      <w:rPr>
        <w:sz w:val="16"/>
        <w:szCs w:val="16"/>
        <w:vertAlign w:val="superscript"/>
      </w:rPr>
      <w:t>th</w:t>
    </w:r>
    <w:r w:rsidRPr="001B586D">
      <w:rPr>
        <w:sz w:val="16"/>
        <w:szCs w:val="16"/>
      </w:rPr>
      <w:t xml:space="preserve"> January 2019</w:t>
    </w:r>
  </w:p>
  <w:p w:rsidR="001B586D" w:rsidRPr="001B586D" w:rsidRDefault="001B586D">
    <w:pPr>
      <w:pStyle w:val="Header"/>
      <w:rPr>
        <w:sz w:val="16"/>
        <w:szCs w:val="16"/>
      </w:rPr>
    </w:pPr>
    <w:r w:rsidRPr="001B586D">
      <w:rPr>
        <w:sz w:val="16"/>
        <w:szCs w:val="16"/>
      </w:rPr>
      <w:t>Agenda Item   Growth deal Affordable Housing Programme</w:t>
    </w:r>
  </w:p>
  <w:p w:rsidR="001B586D" w:rsidRPr="001B586D" w:rsidRDefault="001B586D">
    <w:pPr>
      <w:pStyle w:val="Header"/>
      <w:rPr>
        <w:sz w:val="16"/>
        <w:szCs w:val="16"/>
      </w:rPr>
    </w:pPr>
    <w:r w:rsidRPr="001B586D">
      <w:rPr>
        <w:sz w:val="16"/>
        <w:szCs w:val="16"/>
      </w:rPr>
      <w:t>Report author Paul Staines- Growth Deal Service Delivery manager</w:t>
    </w:r>
  </w:p>
  <w:p w:rsidR="001B586D" w:rsidRPr="001B586D" w:rsidRDefault="001B586D">
    <w:pPr>
      <w:pStyle w:val="Header"/>
      <w:rPr>
        <w:sz w:val="16"/>
        <w:szCs w:val="16"/>
      </w:rPr>
    </w:pPr>
    <w:r w:rsidRPr="001B586D">
      <w:rPr>
        <w:sz w:val="16"/>
        <w:szCs w:val="16"/>
      </w:rPr>
      <w:t>Paul.staines@oxfordshire.gov.uk</w:t>
    </w:r>
  </w:p>
  <w:p w:rsidR="001B586D" w:rsidRDefault="001B58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182"/>
    <w:multiLevelType w:val="hybridMultilevel"/>
    <w:tmpl w:val="CB506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42086"/>
    <w:multiLevelType w:val="hybridMultilevel"/>
    <w:tmpl w:val="C5365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8436D7"/>
    <w:multiLevelType w:val="hybridMultilevel"/>
    <w:tmpl w:val="10480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D654C0"/>
    <w:multiLevelType w:val="hybridMultilevel"/>
    <w:tmpl w:val="0BD42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D6B6772"/>
    <w:multiLevelType w:val="hybridMultilevel"/>
    <w:tmpl w:val="FB106050"/>
    <w:lvl w:ilvl="0" w:tplc="D1346A8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CC5423"/>
    <w:multiLevelType w:val="hybridMultilevel"/>
    <w:tmpl w:val="7FDE05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0528B8"/>
    <w:multiLevelType w:val="hybridMultilevel"/>
    <w:tmpl w:val="993C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A96F7E"/>
    <w:multiLevelType w:val="hybridMultilevel"/>
    <w:tmpl w:val="21C275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1330D5E"/>
    <w:multiLevelType w:val="hybridMultilevel"/>
    <w:tmpl w:val="0D164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C13BE8"/>
    <w:multiLevelType w:val="hybridMultilevel"/>
    <w:tmpl w:val="D5048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AC64DB"/>
    <w:multiLevelType w:val="hybridMultilevel"/>
    <w:tmpl w:val="FD042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7B15D0"/>
    <w:multiLevelType w:val="hybridMultilevel"/>
    <w:tmpl w:val="08D2A7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AD75C47"/>
    <w:multiLevelType w:val="hybridMultilevel"/>
    <w:tmpl w:val="ED28BDC0"/>
    <w:lvl w:ilvl="0" w:tplc="7E922C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8"/>
  </w:num>
  <w:num w:numId="3">
    <w:abstractNumId w:val="1"/>
  </w:num>
  <w:num w:numId="4">
    <w:abstractNumId w:val="3"/>
  </w:num>
  <w:num w:numId="5">
    <w:abstractNumId w:val="0"/>
  </w:num>
  <w:num w:numId="6">
    <w:abstractNumId w:val="6"/>
  </w:num>
  <w:num w:numId="7">
    <w:abstractNumId w:val="4"/>
  </w:num>
  <w:num w:numId="8">
    <w:abstractNumId w:val="10"/>
  </w:num>
  <w:num w:numId="9">
    <w:abstractNumId w:val="2"/>
  </w:num>
  <w:num w:numId="10">
    <w:abstractNumId w:val="11"/>
  </w:num>
  <w:num w:numId="11">
    <w:abstractNumId w:val="12"/>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2E5"/>
    <w:rsid w:val="00036542"/>
    <w:rsid w:val="000752E5"/>
    <w:rsid w:val="000852E2"/>
    <w:rsid w:val="000B4310"/>
    <w:rsid w:val="00143A33"/>
    <w:rsid w:val="001B586D"/>
    <w:rsid w:val="00204C17"/>
    <w:rsid w:val="00267C40"/>
    <w:rsid w:val="00271913"/>
    <w:rsid w:val="004000D7"/>
    <w:rsid w:val="00462F84"/>
    <w:rsid w:val="004838E4"/>
    <w:rsid w:val="00496FE2"/>
    <w:rsid w:val="004B3C8D"/>
    <w:rsid w:val="00504E43"/>
    <w:rsid w:val="0057050C"/>
    <w:rsid w:val="005F474E"/>
    <w:rsid w:val="005F6E1C"/>
    <w:rsid w:val="006105A4"/>
    <w:rsid w:val="006A2CB8"/>
    <w:rsid w:val="00744F2A"/>
    <w:rsid w:val="0074717B"/>
    <w:rsid w:val="00757884"/>
    <w:rsid w:val="007771A5"/>
    <w:rsid w:val="007908F4"/>
    <w:rsid w:val="007B7832"/>
    <w:rsid w:val="008351B3"/>
    <w:rsid w:val="00892AE8"/>
    <w:rsid w:val="00997822"/>
    <w:rsid w:val="009A3EB9"/>
    <w:rsid w:val="00A32486"/>
    <w:rsid w:val="00A47800"/>
    <w:rsid w:val="00B90C4B"/>
    <w:rsid w:val="00B97E91"/>
    <w:rsid w:val="00BD7A92"/>
    <w:rsid w:val="00C13992"/>
    <w:rsid w:val="00C55698"/>
    <w:rsid w:val="00C94AF4"/>
    <w:rsid w:val="00C95440"/>
    <w:rsid w:val="00CA667D"/>
    <w:rsid w:val="00CD0CEA"/>
    <w:rsid w:val="00CF2D97"/>
    <w:rsid w:val="00D00659"/>
    <w:rsid w:val="00D44D33"/>
    <w:rsid w:val="00D54F96"/>
    <w:rsid w:val="00DC57D1"/>
    <w:rsid w:val="00E507AA"/>
    <w:rsid w:val="00E8495D"/>
    <w:rsid w:val="00E92B04"/>
    <w:rsid w:val="00EA34C8"/>
    <w:rsid w:val="00EC6F8F"/>
    <w:rsid w:val="00EF3395"/>
    <w:rsid w:val="00EF6B6B"/>
    <w:rsid w:val="00F34C1C"/>
    <w:rsid w:val="00F50D30"/>
    <w:rsid w:val="00F94509"/>
    <w:rsid w:val="00F957B2"/>
    <w:rsid w:val="00FD3A85"/>
    <w:rsid w:val="00FE1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4F02DE-F1CA-4BDB-B3C8-141AC9D6D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509"/>
    <w:pPr>
      <w:ind w:left="720"/>
      <w:contextualSpacing/>
    </w:pPr>
  </w:style>
  <w:style w:type="character" w:styleId="CommentReference">
    <w:name w:val="annotation reference"/>
    <w:basedOn w:val="DefaultParagraphFont"/>
    <w:uiPriority w:val="99"/>
    <w:semiHidden/>
    <w:unhideWhenUsed/>
    <w:rsid w:val="00B97E91"/>
    <w:rPr>
      <w:sz w:val="16"/>
      <w:szCs w:val="16"/>
    </w:rPr>
  </w:style>
  <w:style w:type="paragraph" w:styleId="CommentText">
    <w:name w:val="annotation text"/>
    <w:basedOn w:val="Normal"/>
    <w:link w:val="CommentTextChar"/>
    <w:uiPriority w:val="99"/>
    <w:semiHidden/>
    <w:unhideWhenUsed/>
    <w:rsid w:val="00B97E91"/>
    <w:rPr>
      <w:sz w:val="20"/>
      <w:szCs w:val="20"/>
    </w:rPr>
  </w:style>
  <w:style w:type="character" w:customStyle="1" w:styleId="CommentTextChar">
    <w:name w:val="Comment Text Char"/>
    <w:basedOn w:val="DefaultParagraphFont"/>
    <w:link w:val="CommentText"/>
    <w:uiPriority w:val="99"/>
    <w:semiHidden/>
    <w:rsid w:val="00B97E91"/>
    <w:rPr>
      <w:sz w:val="20"/>
      <w:szCs w:val="20"/>
    </w:rPr>
  </w:style>
  <w:style w:type="paragraph" w:styleId="CommentSubject">
    <w:name w:val="annotation subject"/>
    <w:basedOn w:val="CommentText"/>
    <w:next w:val="CommentText"/>
    <w:link w:val="CommentSubjectChar"/>
    <w:uiPriority w:val="99"/>
    <w:semiHidden/>
    <w:unhideWhenUsed/>
    <w:rsid w:val="00B97E91"/>
    <w:rPr>
      <w:b/>
      <w:bCs/>
    </w:rPr>
  </w:style>
  <w:style w:type="character" w:customStyle="1" w:styleId="CommentSubjectChar">
    <w:name w:val="Comment Subject Char"/>
    <w:basedOn w:val="CommentTextChar"/>
    <w:link w:val="CommentSubject"/>
    <w:uiPriority w:val="99"/>
    <w:semiHidden/>
    <w:rsid w:val="00B97E91"/>
    <w:rPr>
      <w:b/>
      <w:bCs/>
      <w:sz w:val="20"/>
      <w:szCs w:val="20"/>
    </w:rPr>
  </w:style>
  <w:style w:type="paragraph" w:styleId="BalloonText">
    <w:name w:val="Balloon Text"/>
    <w:basedOn w:val="Normal"/>
    <w:link w:val="BalloonTextChar"/>
    <w:uiPriority w:val="99"/>
    <w:semiHidden/>
    <w:unhideWhenUsed/>
    <w:rsid w:val="00B97E91"/>
    <w:rPr>
      <w:rFonts w:ascii="Tahoma" w:hAnsi="Tahoma" w:cs="Tahoma"/>
      <w:sz w:val="16"/>
      <w:szCs w:val="16"/>
    </w:rPr>
  </w:style>
  <w:style w:type="character" w:customStyle="1" w:styleId="BalloonTextChar">
    <w:name w:val="Balloon Text Char"/>
    <w:basedOn w:val="DefaultParagraphFont"/>
    <w:link w:val="BalloonText"/>
    <w:uiPriority w:val="99"/>
    <w:semiHidden/>
    <w:rsid w:val="00B97E91"/>
    <w:rPr>
      <w:rFonts w:ascii="Tahoma" w:hAnsi="Tahoma" w:cs="Tahoma"/>
      <w:sz w:val="16"/>
      <w:szCs w:val="16"/>
    </w:rPr>
  </w:style>
  <w:style w:type="paragraph" w:styleId="Header">
    <w:name w:val="header"/>
    <w:basedOn w:val="Normal"/>
    <w:link w:val="HeaderChar"/>
    <w:uiPriority w:val="99"/>
    <w:unhideWhenUsed/>
    <w:rsid w:val="001B586D"/>
    <w:pPr>
      <w:tabs>
        <w:tab w:val="center" w:pos="4513"/>
        <w:tab w:val="right" w:pos="9026"/>
      </w:tabs>
    </w:pPr>
  </w:style>
  <w:style w:type="character" w:customStyle="1" w:styleId="HeaderChar">
    <w:name w:val="Header Char"/>
    <w:basedOn w:val="DefaultParagraphFont"/>
    <w:link w:val="Header"/>
    <w:uiPriority w:val="99"/>
    <w:rsid w:val="001B586D"/>
  </w:style>
  <w:style w:type="paragraph" w:styleId="Footer">
    <w:name w:val="footer"/>
    <w:basedOn w:val="Normal"/>
    <w:link w:val="FooterChar"/>
    <w:uiPriority w:val="99"/>
    <w:unhideWhenUsed/>
    <w:rsid w:val="001B586D"/>
    <w:pPr>
      <w:tabs>
        <w:tab w:val="center" w:pos="4513"/>
        <w:tab w:val="right" w:pos="9026"/>
      </w:tabs>
    </w:pPr>
  </w:style>
  <w:style w:type="character" w:customStyle="1" w:styleId="FooterChar">
    <w:name w:val="Footer Char"/>
    <w:basedOn w:val="DefaultParagraphFont"/>
    <w:link w:val="Footer"/>
    <w:uiPriority w:val="99"/>
    <w:rsid w:val="001B5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67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2316</Words>
  <Characters>13204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Staines, Paul - E&amp;E</dc:creator>
  <cp:lastModifiedBy>Alva, Amit</cp:lastModifiedBy>
  <cp:revision>5</cp:revision>
  <dcterms:created xsi:type="dcterms:W3CDTF">2019-01-14T11:51:00Z</dcterms:created>
  <dcterms:modified xsi:type="dcterms:W3CDTF">2019-01-16T11:51:00Z</dcterms:modified>
</cp:coreProperties>
</file>